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after="1"/>
        <w:rPr>
          <w:rFonts w:ascii="Times New Roman"/>
          <w:sz w:val="17"/>
        </w:rPr>
      </w:pPr>
    </w:p>
    <w:p>
      <w:pPr>
        <w:pStyle w:val="BodyText"/>
        <w:ind w:left="3313"/>
        <w:rPr>
          <w:rFonts w:ascii="Times New Roman"/>
          <w:sz w:val="20"/>
        </w:rPr>
      </w:pPr>
      <w:r>
        <w:rPr>
          <w:rFonts w:ascii="Times New Roman"/>
          <w:sz w:val="20"/>
        </w:rPr>
        <w:drawing>
          <wp:inline distT="0" distB="0" distL="0" distR="0">
            <wp:extent cx="1875988" cy="1475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75988" cy="1475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spacing w:before="249"/>
        <w:ind w:left="1061" w:right="1138" w:firstLine="0"/>
        <w:jc w:val="center"/>
        <w:rPr>
          <w:rFonts w:ascii="Arial"/>
          <w:b/>
          <w:sz w:val="36"/>
        </w:rPr>
      </w:pPr>
      <w:r>
        <w:rPr>
          <w:rFonts w:ascii="Arial"/>
          <w:b/>
          <w:sz w:val="36"/>
        </w:rPr>
        <w:t>CNAS-RC04</w:t>
      </w:r>
    </w:p>
    <w:p>
      <w:pPr>
        <w:pStyle w:val="BodyText"/>
        <w:spacing w:before="5"/>
        <w:rPr>
          <w:rFonts w:ascii="Arial"/>
          <w:b/>
          <w:sz w:val="59"/>
        </w:rPr>
      </w:pPr>
    </w:p>
    <w:p>
      <w:pPr>
        <w:spacing w:before="0"/>
        <w:ind w:left="2045" w:right="0" w:firstLine="0"/>
        <w:jc w:val="left"/>
        <w:rPr>
          <w:b/>
          <w:sz w:val="44"/>
        </w:rPr>
      </w:pPr>
      <w:r>
        <w:rPr>
          <w:b/>
          <w:sz w:val="44"/>
        </w:rPr>
        <w:t>认证机构认可收费管理规则</w:t>
      </w:r>
    </w:p>
    <w:p>
      <w:pPr>
        <w:pStyle w:val="BodyText"/>
        <w:spacing w:before="7"/>
        <w:rPr>
          <w:b/>
          <w:sz w:val="59"/>
        </w:rPr>
      </w:pPr>
    </w:p>
    <w:p>
      <w:pPr>
        <w:spacing w:line="362" w:lineRule="auto" w:before="0"/>
        <w:ind w:left="1059" w:right="1139" w:firstLine="0"/>
        <w:jc w:val="center"/>
        <w:rPr>
          <w:rFonts w:ascii="Arial"/>
          <w:b/>
          <w:sz w:val="36"/>
        </w:rPr>
      </w:pPr>
      <w:r>
        <w:rPr>
          <w:rFonts w:ascii="Arial"/>
          <w:b/>
          <w:sz w:val="36"/>
        </w:rPr>
        <w:t>Rules for the Fees on the Accreditation of Certification Bodies</w:t>
      </w:r>
    </w:p>
    <w:p>
      <w:pPr>
        <w:pStyle w:val="BodyText"/>
        <w:rPr>
          <w:rFonts w:ascii="Arial"/>
          <w:b/>
          <w:sz w:val="40"/>
        </w:rPr>
      </w:pPr>
    </w:p>
    <w:p>
      <w:pPr>
        <w:pStyle w:val="BodyText"/>
        <w:rPr>
          <w:rFonts w:ascii="Arial"/>
          <w:b/>
          <w:sz w:val="40"/>
        </w:rPr>
      </w:pPr>
    </w:p>
    <w:p>
      <w:pPr>
        <w:pStyle w:val="BodyText"/>
        <w:rPr>
          <w:rFonts w:ascii="Arial"/>
          <w:b/>
          <w:sz w:val="40"/>
        </w:rPr>
      </w:pPr>
    </w:p>
    <w:p>
      <w:pPr>
        <w:pStyle w:val="BodyText"/>
        <w:rPr>
          <w:rFonts w:ascii="Arial"/>
          <w:b/>
          <w:sz w:val="40"/>
        </w:rPr>
      </w:pPr>
    </w:p>
    <w:p>
      <w:pPr>
        <w:pStyle w:val="BodyText"/>
        <w:rPr>
          <w:rFonts w:ascii="Arial"/>
          <w:b/>
          <w:sz w:val="40"/>
        </w:rPr>
      </w:pPr>
    </w:p>
    <w:p>
      <w:pPr>
        <w:pStyle w:val="BodyText"/>
        <w:rPr>
          <w:rFonts w:ascii="Arial"/>
          <w:b/>
          <w:sz w:val="40"/>
        </w:rPr>
      </w:pPr>
    </w:p>
    <w:p>
      <w:pPr>
        <w:pStyle w:val="BodyText"/>
        <w:rPr>
          <w:rFonts w:ascii="Arial"/>
          <w:b/>
          <w:sz w:val="40"/>
        </w:rPr>
      </w:pPr>
    </w:p>
    <w:p>
      <w:pPr>
        <w:pStyle w:val="BodyText"/>
        <w:spacing w:before="4"/>
        <w:rPr>
          <w:rFonts w:ascii="Arial"/>
          <w:b/>
          <w:sz w:val="45"/>
        </w:rPr>
      </w:pPr>
    </w:p>
    <w:p>
      <w:pPr>
        <w:spacing w:before="0"/>
        <w:ind w:left="1061" w:right="1139" w:firstLine="0"/>
        <w:jc w:val="center"/>
        <w:rPr>
          <w:sz w:val="32"/>
        </w:rPr>
      </w:pPr>
      <w:r>
        <w:rPr>
          <w:sz w:val="32"/>
        </w:rPr>
        <w:t>中国合格评定国家认可委员会</w:t>
      </w:r>
    </w:p>
    <w:p>
      <w:pPr>
        <w:pStyle w:val="BodyText"/>
        <w:rPr>
          <w:sz w:val="20"/>
        </w:rPr>
      </w:pPr>
    </w:p>
    <w:p>
      <w:pPr>
        <w:pStyle w:val="BodyText"/>
        <w:rPr>
          <w:sz w:val="20"/>
        </w:rPr>
      </w:pPr>
    </w:p>
    <w:p>
      <w:pPr>
        <w:pStyle w:val="BodyText"/>
        <w:rPr>
          <w:sz w:val="20"/>
        </w:rPr>
      </w:pPr>
    </w:p>
    <w:p>
      <w:pPr>
        <w:pStyle w:val="BodyText"/>
        <w:rPr>
          <w:sz w:val="14"/>
        </w:rPr>
      </w:pPr>
      <w:r>
        <w:rPr/>
        <w:pict>
          <v:line style="position:absolute;mso-position-horizontal-relative:page;mso-position-vertical-relative:paragraph;z-index:-1024;mso-wrap-distance-left:0;mso-wrap-distance-right:0" from="76.584pt,11.334089pt" to="518.9740pt,11.334089pt" stroked="true" strokeweight=".72pt" strokecolor="#000000">
            <v:stroke dashstyle="solid"/>
            <w10:wrap type="topAndBottom"/>
          </v:line>
        </w:pict>
      </w:r>
    </w:p>
    <w:p>
      <w:pPr>
        <w:spacing w:after="0"/>
        <w:rPr>
          <w:sz w:val="14"/>
        </w:rPr>
        <w:sectPr>
          <w:footerReference w:type="default" r:id="rId5"/>
          <w:type w:val="continuous"/>
          <w:pgSz w:w="11910" w:h="16840"/>
          <w:pgMar w:footer="865" w:top="1580" w:bottom="1060" w:left="1260" w:right="1180"/>
        </w:sectPr>
      </w:pPr>
    </w:p>
    <w:p>
      <w:pPr>
        <w:pStyle w:val="BodyText"/>
        <w:rPr>
          <w:sz w:val="20"/>
        </w:rPr>
      </w:pPr>
    </w:p>
    <w:p>
      <w:pPr>
        <w:pStyle w:val="Heading3"/>
        <w:tabs>
          <w:tab w:pos="561" w:val="left" w:leader="none"/>
        </w:tabs>
        <w:spacing w:before="212"/>
        <w:ind w:left="0" w:right="75" w:firstLine="0"/>
        <w:jc w:val="center"/>
      </w:pPr>
      <w:r>
        <w:rPr/>
        <w:t>目</w:t>
        <w:tab/>
        <w:t>次</w:t>
      </w:r>
    </w:p>
    <w:sdt>
      <w:sdtPr>
        <w:docPartObj>
          <w:docPartGallery w:val="Table of Contents"/>
          <w:docPartUnique/>
        </w:docPartObj>
      </w:sdtPr>
      <w:sdtEndPr/>
      <w:sdtContent>
        <w:p>
          <w:pPr>
            <w:pStyle w:val="TOC1"/>
            <w:tabs>
              <w:tab w:pos="780" w:val="left" w:leader="none"/>
              <w:tab w:pos="9360" w:val="right" w:leader="dot"/>
            </w:tabs>
            <w:spacing w:before="553"/>
            <w:rPr>
              <w:rFonts w:ascii="Arial" w:eastAsia="Arial"/>
            </w:rPr>
          </w:pPr>
          <w:hyperlink w:history="true" w:anchor="_bookmark0">
            <w:r>
              <w:rPr/>
              <w:t>前</w:t>
              <w:tab/>
              <w:t>言</w:t>
              <w:tab/>
            </w:r>
            <w:r>
              <w:rPr>
                <w:rFonts w:ascii="Arial" w:eastAsia="Arial"/>
              </w:rPr>
              <w:t>2</w:t>
            </w:r>
          </w:hyperlink>
        </w:p>
        <w:p>
          <w:pPr>
            <w:pStyle w:val="TOC1"/>
            <w:numPr>
              <w:ilvl w:val="0"/>
              <w:numId w:val="1"/>
            </w:numPr>
            <w:tabs>
              <w:tab w:pos="674" w:val="left" w:leader="none"/>
              <w:tab w:pos="675" w:val="left" w:leader="none"/>
              <w:tab w:pos="9360" w:val="right" w:leader="dot"/>
            </w:tabs>
            <w:spacing w:line="240" w:lineRule="auto" w:before="182" w:after="0"/>
            <w:ind w:left="674" w:right="0" w:hanging="374"/>
            <w:jc w:val="left"/>
            <w:rPr>
              <w:rFonts w:ascii="Arial" w:eastAsia="Arial"/>
            </w:rPr>
          </w:pPr>
          <w:hyperlink w:history="true" w:anchor="_bookmark1">
            <w:r>
              <w:rPr/>
              <w:t>目的和适用范围</w:t>
              <w:tab/>
            </w:r>
            <w:r>
              <w:rPr>
                <w:rFonts w:ascii="Arial" w:eastAsia="Arial"/>
              </w:rPr>
              <w:t>3</w:t>
            </w:r>
          </w:hyperlink>
        </w:p>
        <w:p>
          <w:pPr>
            <w:pStyle w:val="TOC1"/>
            <w:numPr>
              <w:ilvl w:val="0"/>
              <w:numId w:val="1"/>
            </w:numPr>
            <w:tabs>
              <w:tab w:pos="674" w:val="left" w:leader="none"/>
              <w:tab w:pos="675" w:val="left" w:leader="none"/>
              <w:tab w:pos="9360" w:val="right" w:leader="dot"/>
            </w:tabs>
            <w:spacing w:line="240" w:lineRule="auto" w:before="182" w:after="0"/>
            <w:ind w:left="674" w:right="0" w:hanging="374"/>
            <w:jc w:val="left"/>
            <w:rPr>
              <w:rFonts w:ascii="Arial" w:eastAsia="Arial"/>
            </w:rPr>
          </w:pPr>
          <w:hyperlink w:history="true" w:anchor="_bookmark2">
            <w:r>
              <w:rPr/>
              <w:t>规范性引用文件</w:t>
              <w:tab/>
            </w:r>
            <w:r>
              <w:rPr>
                <w:rFonts w:ascii="Arial" w:eastAsia="Arial"/>
              </w:rPr>
              <w:t>3</w:t>
            </w:r>
          </w:hyperlink>
        </w:p>
        <w:p>
          <w:pPr>
            <w:pStyle w:val="TOC1"/>
            <w:numPr>
              <w:ilvl w:val="0"/>
              <w:numId w:val="1"/>
            </w:numPr>
            <w:tabs>
              <w:tab w:pos="674" w:val="left" w:leader="none"/>
              <w:tab w:pos="675" w:val="left" w:leader="none"/>
              <w:tab w:pos="9360" w:val="right" w:leader="dot"/>
            </w:tabs>
            <w:spacing w:line="240" w:lineRule="auto" w:before="182" w:after="0"/>
            <w:ind w:left="674" w:right="0" w:hanging="374"/>
            <w:jc w:val="left"/>
            <w:rPr>
              <w:rFonts w:ascii="Arial" w:eastAsia="Arial"/>
            </w:rPr>
          </w:pPr>
          <w:hyperlink w:history="true" w:anchor="_bookmark3">
            <w:r>
              <w:rPr/>
              <w:t>术语和定义</w:t>
              <w:tab/>
            </w:r>
            <w:r>
              <w:rPr>
                <w:rFonts w:ascii="Arial" w:eastAsia="Arial"/>
              </w:rPr>
              <w:t>3</w:t>
            </w:r>
          </w:hyperlink>
        </w:p>
        <w:p>
          <w:pPr>
            <w:pStyle w:val="TOC1"/>
            <w:numPr>
              <w:ilvl w:val="0"/>
              <w:numId w:val="1"/>
            </w:numPr>
            <w:tabs>
              <w:tab w:pos="674" w:val="left" w:leader="none"/>
              <w:tab w:pos="675" w:val="left" w:leader="none"/>
              <w:tab w:pos="9360" w:val="right" w:leader="dot"/>
            </w:tabs>
            <w:spacing w:line="240" w:lineRule="auto" w:before="180" w:after="0"/>
            <w:ind w:left="674" w:right="0" w:hanging="374"/>
            <w:jc w:val="left"/>
            <w:rPr>
              <w:rFonts w:ascii="Arial" w:eastAsia="Arial"/>
            </w:rPr>
          </w:pPr>
          <w:hyperlink w:history="true" w:anchor="_bookmark4">
            <w:r>
              <w:rPr/>
              <w:t>收费原则</w:t>
              <w:tab/>
            </w:r>
            <w:r>
              <w:rPr>
                <w:rFonts w:ascii="Arial" w:eastAsia="Arial"/>
              </w:rPr>
              <w:t>3</w:t>
            </w:r>
          </w:hyperlink>
        </w:p>
        <w:p>
          <w:pPr>
            <w:pStyle w:val="TOC1"/>
            <w:numPr>
              <w:ilvl w:val="0"/>
              <w:numId w:val="1"/>
            </w:numPr>
            <w:tabs>
              <w:tab w:pos="674" w:val="left" w:leader="none"/>
              <w:tab w:pos="675" w:val="left" w:leader="none"/>
              <w:tab w:pos="9360" w:val="right" w:leader="dot"/>
            </w:tabs>
            <w:spacing w:line="240" w:lineRule="auto" w:before="182" w:after="0"/>
            <w:ind w:left="674" w:right="0" w:hanging="374"/>
            <w:jc w:val="left"/>
            <w:rPr>
              <w:rFonts w:ascii="Arial" w:eastAsia="Arial"/>
            </w:rPr>
          </w:pPr>
          <w:hyperlink w:history="true" w:anchor="_bookmark5">
            <w:r>
              <w:rPr/>
              <w:t>收费项目与标准</w:t>
              <w:tab/>
            </w:r>
            <w:r>
              <w:rPr>
                <w:rFonts w:ascii="Arial" w:eastAsia="Arial"/>
              </w:rPr>
              <w:t>4</w:t>
            </w:r>
          </w:hyperlink>
        </w:p>
        <w:p>
          <w:pPr>
            <w:pStyle w:val="TOC1"/>
            <w:numPr>
              <w:ilvl w:val="0"/>
              <w:numId w:val="1"/>
            </w:numPr>
            <w:tabs>
              <w:tab w:pos="674" w:val="left" w:leader="none"/>
              <w:tab w:pos="675" w:val="left" w:leader="none"/>
              <w:tab w:pos="9360" w:val="right" w:leader="dot"/>
            </w:tabs>
            <w:spacing w:line="240" w:lineRule="auto" w:before="183" w:after="0"/>
            <w:ind w:left="674" w:right="0" w:hanging="374"/>
            <w:jc w:val="left"/>
            <w:rPr>
              <w:rFonts w:ascii="Arial" w:eastAsia="Arial"/>
            </w:rPr>
          </w:pPr>
          <w:hyperlink w:history="true" w:anchor="_bookmark6">
            <w:r>
              <w:rPr/>
              <w:t>收费方法</w:t>
              <w:tab/>
            </w:r>
            <w:r>
              <w:rPr>
                <w:rFonts w:ascii="Arial" w:eastAsia="Arial"/>
              </w:rPr>
              <w:t>5</w:t>
            </w:r>
          </w:hyperlink>
        </w:p>
        <w:p>
          <w:pPr>
            <w:pStyle w:val="TOC1"/>
            <w:numPr>
              <w:ilvl w:val="0"/>
              <w:numId w:val="1"/>
            </w:numPr>
            <w:tabs>
              <w:tab w:pos="674" w:val="left" w:leader="none"/>
              <w:tab w:pos="675" w:val="left" w:leader="none"/>
              <w:tab w:pos="9360" w:val="right" w:leader="dot"/>
            </w:tabs>
            <w:spacing w:line="240" w:lineRule="auto" w:before="182" w:after="0"/>
            <w:ind w:left="674" w:right="0" w:hanging="374"/>
            <w:jc w:val="left"/>
            <w:rPr>
              <w:rFonts w:ascii="Arial" w:eastAsia="Arial"/>
            </w:rPr>
          </w:pPr>
          <w:hyperlink w:history="true" w:anchor="_bookmark7">
            <w:r>
              <w:rPr/>
              <w:t>附件及附表</w:t>
              <w:tab/>
            </w:r>
            <w:r>
              <w:rPr>
                <w:rFonts w:ascii="Arial" w:eastAsia="Arial"/>
              </w:rPr>
              <w:t>5</w:t>
            </w:r>
          </w:hyperlink>
        </w:p>
        <w:p>
          <w:pPr>
            <w:pStyle w:val="TOC1"/>
            <w:tabs>
              <w:tab w:pos="9360" w:val="right" w:leader="dot"/>
            </w:tabs>
            <w:rPr>
              <w:rFonts w:ascii="Arial" w:eastAsia="Arial"/>
            </w:rPr>
          </w:pPr>
          <w:r>
            <w:rPr/>
            <w:t>附件</w:t>
          </w:r>
          <w:r>
            <w:rPr>
              <w:spacing w:val="-61"/>
            </w:rPr>
            <w:t> </w:t>
          </w:r>
          <w:r>
            <w:rPr>
              <w:rFonts w:ascii="Arial" w:eastAsia="Arial"/>
            </w:rPr>
            <w:t>1</w:t>
          </w:r>
          <w:hyperlink w:history="true" w:anchor="_bookmark8">
            <w:r>
              <w:rPr/>
              <w:t>：认证机构实施管理体系认证的认可评审人日数核算方法</w:t>
              <w:tab/>
            </w:r>
            <w:r>
              <w:rPr>
                <w:rFonts w:ascii="Arial" w:eastAsia="Arial"/>
              </w:rPr>
              <w:t>6</w:t>
            </w:r>
          </w:hyperlink>
        </w:p>
        <w:p>
          <w:pPr>
            <w:pStyle w:val="TOC1"/>
            <w:tabs>
              <w:tab w:pos="9364" w:val="right" w:leader="dot"/>
            </w:tabs>
            <w:spacing w:before="179"/>
            <w:rPr>
              <w:rFonts w:ascii="Arial" w:eastAsia="Arial"/>
            </w:rPr>
          </w:pPr>
          <w:r>
            <w:rPr/>
            <w:t>附件</w:t>
          </w:r>
          <w:r>
            <w:rPr>
              <w:spacing w:val="-61"/>
            </w:rPr>
            <w:t> </w:t>
          </w:r>
          <w:r>
            <w:rPr>
              <w:rFonts w:ascii="Arial" w:eastAsia="Arial"/>
            </w:rPr>
            <w:t>2</w:t>
          </w:r>
          <w:hyperlink w:history="true" w:anchor="_bookmark9">
            <w:r>
              <w:rPr/>
              <w:t>：认证机构实施产品认证的认可评审人日数核算方法</w:t>
              <w:tab/>
            </w:r>
            <w:r>
              <w:rPr>
                <w:rFonts w:ascii="Arial" w:eastAsia="Arial"/>
              </w:rPr>
              <w:t>10</w:t>
            </w:r>
          </w:hyperlink>
        </w:p>
        <w:p>
          <w:pPr>
            <w:pStyle w:val="TOC1"/>
            <w:tabs>
              <w:tab w:pos="9364" w:val="right" w:leader="dot"/>
            </w:tabs>
            <w:spacing w:before="183"/>
            <w:rPr>
              <w:rFonts w:ascii="Arial" w:eastAsia="Arial"/>
            </w:rPr>
          </w:pPr>
          <w:r>
            <w:rPr/>
            <w:t>附件</w:t>
          </w:r>
          <w:r>
            <w:rPr>
              <w:spacing w:val="-61"/>
            </w:rPr>
            <w:t> </w:t>
          </w:r>
          <w:r>
            <w:rPr>
              <w:rFonts w:ascii="Arial" w:eastAsia="Arial"/>
            </w:rPr>
            <w:t>3</w:t>
          </w:r>
          <w:hyperlink w:history="true" w:anchor="_bookmark10">
            <w:r>
              <w:rPr/>
              <w:t>：人员认证机构的认可评审人日数核算方法</w:t>
              <w:tab/>
            </w:r>
            <w:r>
              <w:rPr>
                <w:rFonts w:ascii="Arial" w:eastAsia="Arial"/>
              </w:rPr>
              <w:t>13</w:t>
            </w:r>
          </w:hyperlink>
        </w:p>
        <w:p>
          <w:pPr>
            <w:pStyle w:val="TOC1"/>
            <w:tabs>
              <w:tab w:pos="9364" w:val="right" w:leader="dot"/>
            </w:tabs>
            <w:rPr>
              <w:rFonts w:ascii="Arial" w:eastAsia="Arial"/>
            </w:rPr>
          </w:pPr>
          <w:hyperlink w:history="true" w:anchor="_bookmark11">
            <w:r>
              <w:rPr/>
              <w:t>附件</w:t>
            </w:r>
            <w:r>
              <w:rPr>
                <w:spacing w:val="-61"/>
              </w:rPr>
              <w:t> </w:t>
            </w:r>
            <w:r>
              <w:rPr>
                <w:rFonts w:ascii="Arial" w:eastAsia="Arial"/>
              </w:rPr>
              <w:t>4</w:t>
            </w:r>
            <w:r>
              <w:rPr/>
              <w:t>：</w:t>
            </w:r>
          </w:hyperlink>
          <w:hyperlink w:history="true" w:anchor="_bookmark11">
            <w:r>
              <w:rPr/>
              <w:t>基于其他认可制度的认证机构评审人日数核算方法</w:t>
              <w:tab/>
            </w:r>
            <w:r>
              <w:rPr>
                <w:rFonts w:ascii="Arial" w:eastAsia="Arial"/>
              </w:rPr>
              <w:t>15</w:t>
            </w:r>
          </w:hyperlink>
        </w:p>
        <w:p>
          <w:pPr>
            <w:pStyle w:val="TOC1"/>
            <w:tabs>
              <w:tab w:pos="1884" w:val="left" w:leader="none"/>
              <w:tab w:pos="9364" w:val="right" w:leader="dot"/>
            </w:tabs>
            <w:rPr>
              <w:rFonts w:ascii="Arial" w:eastAsia="Arial"/>
            </w:rPr>
          </w:pPr>
          <w:hyperlink w:history="true" w:anchor="_bookmark12">
            <w:r>
              <w:rPr/>
              <w:t>附表</w:t>
            </w:r>
            <w:r>
              <w:rPr>
                <w:spacing w:val="-61"/>
              </w:rPr>
              <w:t> </w:t>
            </w:r>
            <w:r>
              <w:rPr>
                <w:rFonts w:ascii="Arial" w:eastAsia="Arial"/>
              </w:rPr>
              <w:t>1</w:t>
            </w:r>
            <w:r>
              <w:rPr/>
              <w:t>：</w:t>
            </w:r>
          </w:hyperlink>
          <w:r>
            <w:rPr>
              <w:u w:val="thick"/>
            </w:rPr>
            <w:t> </w:t>
            <w:tab/>
          </w:r>
          <w:hyperlink w:history="true" w:anchor="_bookmark13">
            <w:r>
              <w:rPr/>
              <w:t>年度</w:t>
            </w:r>
            <w:r>
              <w:rPr>
                <w:spacing w:val="-3"/>
              </w:rPr>
              <w:t>管</w:t>
            </w:r>
            <w:r>
              <w:rPr/>
              <w:t>理体系认证机构认可年度管理费交付核算表</w:t>
              <w:tab/>
            </w:r>
            <w:r>
              <w:rPr>
                <w:rFonts w:ascii="Arial" w:eastAsia="Arial"/>
              </w:rPr>
              <w:t>16</w:t>
            </w:r>
          </w:hyperlink>
        </w:p>
        <w:p>
          <w:pPr>
            <w:pStyle w:val="TOC1"/>
            <w:tabs>
              <w:tab w:pos="1881" w:val="left" w:leader="none"/>
              <w:tab w:pos="9364" w:val="right" w:leader="dot"/>
            </w:tabs>
            <w:spacing w:before="180"/>
            <w:rPr>
              <w:rFonts w:ascii="Arial" w:eastAsia="Arial"/>
            </w:rPr>
          </w:pPr>
          <w:hyperlink w:history="true" w:anchor="_bookmark14">
            <w:r>
              <w:rPr/>
              <w:t>附表</w:t>
            </w:r>
            <w:r>
              <w:rPr>
                <w:spacing w:val="-61"/>
              </w:rPr>
              <w:t> </w:t>
            </w:r>
            <w:r>
              <w:rPr>
                <w:rFonts w:ascii="Arial" w:eastAsia="Arial"/>
              </w:rPr>
              <w:t>2</w:t>
            </w:r>
            <w:r>
              <w:rPr/>
              <w:t>：</w:t>
            </w:r>
          </w:hyperlink>
          <w:r>
            <w:rPr>
              <w:u w:val="thick"/>
            </w:rPr>
            <w:t> </w:t>
            <w:tab/>
          </w:r>
          <w:r>
            <w:rPr>
              <w:sz w:val="22"/>
            </w:rPr>
            <w:t>年度</w:t>
          </w:r>
          <w:hyperlink w:history="true" w:anchor="_bookmark15">
            <w:r>
              <w:rPr>
                <w:spacing w:val="-3"/>
              </w:rPr>
              <w:t>产</w:t>
            </w:r>
            <w:r>
              <w:rPr/>
              <w:t>品认证机构认可年度管理费交付核算表</w:t>
              <w:tab/>
            </w:r>
            <w:r>
              <w:rPr>
                <w:rFonts w:ascii="Arial" w:eastAsia="Arial"/>
              </w:rPr>
              <w:t>17</w:t>
            </w:r>
          </w:hyperlink>
        </w:p>
        <w:p>
          <w:pPr>
            <w:pStyle w:val="TOC1"/>
            <w:tabs>
              <w:tab w:pos="9364" w:val="right" w:leader="dot"/>
            </w:tabs>
            <w:rPr>
              <w:rFonts w:ascii="Arial" w:eastAsia="Arial"/>
            </w:rPr>
          </w:pPr>
          <w:hyperlink w:history="true" w:anchor="_bookmark16">
            <w:r>
              <w:rPr/>
              <w:t>附表</w:t>
            </w:r>
            <w:r>
              <w:rPr>
                <w:spacing w:val="-61"/>
              </w:rPr>
              <w:t> </w:t>
            </w:r>
            <w:r>
              <w:rPr>
                <w:rFonts w:ascii="Arial" w:eastAsia="Arial"/>
              </w:rPr>
              <w:t>4</w:t>
            </w:r>
            <w:r>
              <w:rPr/>
              <w:t>：</w:t>
            </w:r>
          </w:hyperlink>
          <w:hyperlink w:history="true" w:anchor="_bookmark16">
            <w:r>
              <w:rPr/>
              <w:t>人员认证机构注册费收入情况表</w:t>
              <w:tab/>
            </w:r>
            <w:r>
              <w:rPr>
                <w:rFonts w:ascii="Arial" w:eastAsia="Arial"/>
              </w:rPr>
              <w:t>18</w:t>
            </w:r>
          </w:hyperlink>
        </w:p>
      </w:sdtContent>
    </w:sdt>
    <w:p>
      <w:pPr>
        <w:spacing w:after="0"/>
        <w:rPr>
          <w:rFonts w:ascii="Arial" w:eastAsia="Arial"/>
        </w:rPr>
        <w:sectPr>
          <w:headerReference w:type="default" r:id="rId7"/>
          <w:footerReference w:type="default" r:id="rId8"/>
          <w:pgSz w:w="11910" w:h="16850"/>
          <w:pgMar w:header="876" w:footer="985" w:top="1340" w:bottom="1180" w:left="1260" w:right="1180"/>
          <w:pgNumType w:start="1"/>
        </w:sectPr>
      </w:pPr>
    </w:p>
    <w:p>
      <w:pPr>
        <w:pStyle w:val="BodyText"/>
        <w:rPr>
          <w:rFonts w:ascii="Arial"/>
          <w:sz w:val="28"/>
        </w:rPr>
      </w:pPr>
    </w:p>
    <w:p>
      <w:pPr>
        <w:pStyle w:val="Heading4"/>
        <w:tabs>
          <w:tab w:pos="4834" w:val="left" w:leader="none"/>
        </w:tabs>
        <w:spacing w:before="202"/>
        <w:ind w:left="4275" w:firstLine="0"/>
      </w:pPr>
      <w:bookmarkStart w:name="_bookmark0" w:id="1"/>
      <w:bookmarkEnd w:id="1"/>
      <w:r>
        <w:rPr/>
      </w:r>
      <w:r>
        <w:rPr/>
        <w:t>前</w:t>
        <w:tab/>
        <w:t>言</w:t>
      </w:r>
    </w:p>
    <w:p>
      <w:pPr>
        <w:pStyle w:val="BodyText"/>
        <w:rPr>
          <w:rFonts w:ascii="黑体"/>
          <w:sz w:val="39"/>
        </w:rPr>
      </w:pPr>
    </w:p>
    <w:p>
      <w:pPr>
        <w:pStyle w:val="BodyText"/>
        <w:ind w:left="780"/>
      </w:pPr>
      <w:r>
        <w:rPr/>
        <w:t>本文件由中国合格评定国家认可委员会（CNAS）制定。</w:t>
      </w:r>
    </w:p>
    <w:p>
      <w:pPr>
        <w:pStyle w:val="BodyText"/>
        <w:spacing w:line="304" w:lineRule="auto" w:before="81"/>
        <w:ind w:left="300" w:right="403" w:firstLine="479"/>
      </w:pPr>
      <w:r>
        <w:rPr>
          <w:spacing w:val="-12"/>
        </w:rPr>
        <w:t>本文件为 </w:t>
      </w:r>
      <w:r>
        <w:rPr/>
        <w:t>CNAS</w:t>
      </w:r>
      <w:r>
        <w:rPr>
          <w:spacing w:val="-9"/>
        </w:rPr>
        <w:t> 向认证机构收取认可费用的管理规则，与其他必要认可规则和认</w:t>
      </w:r>
      <w:r>
        <w:rPr>
          <w:spacing w:val="-6"/>
        </w:rPr>
        <w:t>可准则等规范共同形成 </w:t>
      </w:r>
      <w:r>
        <w:rPr/>
        <w:t>CNAS</w:t>
      </w:r>
      <w:r>
        <w:rPr>
          <w:spacing w:val="-8"/>
        </w:rPr>
        <w:t> 对认证机构认可的要求。</w:t>
      </w:r>
    </w:p>
    <w:p>
      <w:pPr>
        <w:pStyle w:val="BodyText"/>
        <w:spacing w:line="306" w:lineRule="exact"/>
        <w:ind w:left="780"/>
      </w:pPr>
      <w:r>
        <w:rPr/>
        <w:t>本文件代替 CNAS-RC04:2019。</w:t>
      </w:r>
    </w:p>
    <w:p>
      <w:pPr>
        <w:spacing w:after="0" w:line="306" w:lineRule="exact"/>
        <w:sectPr>
          <w:pgSz w:w="11910" w:h="16850"/>
          <w:pgMar w:header="876" w:footer="985" w:top="1340" w:bottom="1180" w:left="1260" w:right="1180"/>
        </w:sectPr>
      </w:pPr>
    </w:p>
    <w:p>
      <w:pPr>
        <w:pStyle w:val="BodyText"/>
        <w:rPr>
          <w:sz w:val="20"/>
        </w:rPr>
      </w:pPr>
    </w:p>
    <w:p>
      <w:pPr>
        <w:pStyle w:val="BodyText"/>
        <w:spacing w:before="9"/>
        <w:rPr>
          <w:sz w:val="16"/>
        </w:rPr>
      </w:pPr>
    </w:p>
    <w:p>
      <w:pPr>
        <w:spacing w:before="54"/>
        <w:ind w:left="2768" w:right="0" w:firstLine="0"/>
        <w:jc w:val="left"/>
        <w:rPr>
          <w:rFonts w:ascii="黑体" w:eastAsia="黑体" w:hint="eastAsia"/>
          <w:b/>
          <w:sz w:val="32"/>
        </w:rPr>
      </w:pPr>
      <w:r>
        <w:rPr>
          <w:rFonts w:ascii="黑体" w:eastAsia="黑体" w:hint="eastAsia"/>
          <w:b/>
          <w:sz w:val="32"/>
        </w:rPr>
        <w:t>认证机构认可收费管理规则</w:t>
      </w:r>
    </w:p>
    <w:p>
      <w:pPr>
        <w:pStyle w:val="BodyText"/>
        <w:spacing w:before="2"/>
        <w:rPr>
          <w:rFonts w:ascii="黑体"/>
          <w:b/>
          <w:sz w:val="35"/>
        </w:rPr>
      </w:pPr>
    </w:p>
    <w:p>
      <w:pPr>
        <w:pStyle w:val="Heading2"/>
        <w:numPr>
          <w:ilvl w:val="0"/>
          <w:numId w:val="2"/>
        </w:numPr>
        <w:tabs>
          <w:tab w:pos="768" w:val="left" w:leader="none"/>
          <w:tab w:pos="769" w:val="left" w:leader="none"/>
        </w:tabs>
        <w:spacing w:line="240" w:lineRule="auto" w:before="0" w:after="0"/>
        <w:ind w:left="768" w:right="0" w:hanging="468"/>
        <w:jc w:val="left"/>
      </w:pPr>
      <w:bookmarkStart w:name="_bookmark1" w:id="2"/>
      <w:bookmarkEnd w:id="2"/>
      <w:r>
        <w:rPr>
          <w:b w:val="0"/>
        </w:rPr>
      </w:r>
      <w:bookmarkStart w:name="_bookmark1" w:id="3"/>
      <w:bookmarkEnd w:id="3"/>
      <w:r>
        <w:rPr/>
        <w:t>目的和适用范围</w:t>
      </w:r>
    </w:p>
    <w:p>
      <w:pPr>
        <w:pStyle w:val="ListParagraph"/>
        <w:numPr>
          <w:ilvl w:val="1"/>
          <w:numId w:val="2"/>
        </w:numPr>
        <w:tabs>
          <w:tab w:pos="757" w:val="left" w:leader="none"/>
        </w:tabs>
        <w:spacing w:line="302" w:lineRule="auto" w:before="108" w:after="0"/>
        <w:ind w:left="300" w:right="310" w:firstLine="0"/>
        <w:jc w:val="left"/>
        <w:rPr>
          <w:sz w:val="24"/>
        </w:rPr>
      </w:pPr>
      <w:r>
        <w:rPr>
          <w:spacing w:val="-2"/>
          <w:sz w:val="24"/>
        </w:rPr>
        <w:t>为加强对认证机构认可收费的管理，规范认可收费行为，保护认可双方的利益， </w:t>
      </w:r>
      <w:r>
        <w:rPr>
          <w:sz w:val="24"/>
        </w:rPr>
        <w:t>促进认证机构认可工作的发展，特制订本文件。</w:t>
      </w:r>
    </w:p>
    <w:p>
      <w:pPr>
        <w:pStyle w:val="ListParagraph"/>
        <w:numPr>
          <w:ilvl w:val="1"/>
          <w:numId w:val="2"/>
        </w:numPr>
        <w:tabs>
          <w:tab w:pos="757" w:val="left" w:leader="none"/>
        </w:tabs>
        <w:spacing w:line="302" w:lineRule="auto" w:before="2" w:after="0"/>
        <w:ind w:left="300" w:right="373" w:firstLine="0"/>
        <w:jc w:val="left"/>
        <w:rPr>
          <w:sz w:val="24"/>
        </w:rPr>
      </w:pPr>
      <w:r>
        <w:rPr>
          <w:spacing w:val="-8"/>
          <w:sz w:val="24"/>
        </w:rPr>
        <w:t>本文件规定了 </w:t>
      </w:r>
      <w:r>
        <w:rPr>
          <w:rFonts w:ascii="Arial" w:eastAsia="Arial"/>
          <w:sz w:val="24"/>
        </w:rPr>
        <w:t>CNAS</w:t>
      </w:r>
      <w:r>
        <w:rPr>
          <w:rFonts w:ascii="Arial" w:eastAsia="Arial"/>
          <w:spacing w:val="4"/>
          <w:sz w:val="24"/>
        </w:rPr>
        <w:t> </w:t>
      </w:r>
      <w:r>
        <w:rPr>
          <w:spacing w:val="-3"/>
          <w:sz w:val="24"/>
        </w:rPr>
        <w:t>对认证机构认可的收费原则及收费标准，适用于 </w:t>
      </w:r>
      <w:r>
        <w:rPr>
          <w:rFonts w:ascii="Arial" w:eastAsia="Arial"/>
          <w:sz w:val="24"/>
        </w:rPr>
        <w:t>CNAS</w:t>
      </w:r>
      <w:r>
        <w:rPr>
          <w:rFonts w:ascii="Arial" w:eastAsia="Arial"/>
          <w:spacing w:val="3"/>
          <w:sz w:val="24"/>
        </w:rPr>
        <w:t> </w:t>
      </w:r>
      <w:r>
        <w:rPr>
          <w:spacing w:val="-13"/>
          <w:sz w:val="24"/>
        </w:rPr>
        <w:t>所</w:t>
      </w:r>
      <w:r>
        <w:rPr>
          <w:sz w:val="24"/>
        </w:rPr>
        <w:t>开展的对认证机构认可服务收费。</w:t>
      </w:r>
    </w:p>
    <w:p>
      <w:pPr>
        <w:pStyle w:val="BodyText"/>
        <w:spacing w:before="11"/>
        <w:rPr>
          <w:sz w:val="26"/>
        </w:rPr>
      </w:pPr>
    </w:p>
    <w:p>
      <w:pPr>
        <w:pStyle w:val="Heading2"/>
        <w:numPr>
          <w:ilvl w:val="0"/>
          <w:numId w:val="2"/>
        </w:numPr>
        <w:tabs>
          <w:tab w:pos="768" w:val="left" w:leader="none"/>
          <w:tab w:pos="769" w:val="left" w:leader="none"/>
        </w:tabs>
        <w:spacing w:line="240" w:lineRule="auto" w:before="0" w:after="0"/>
        <w:ind w:left="768" w:right="0" w:hanging="468"/>
        <w:jc w:val="left"/>
      </w:pPr>
      <w:bookmarkStart w:name="_bookmark2" w:id="4"/>
      <w:bookmarkEnd w:id="4"/>
      <w:r>
        <w:rPr>
          <w:b w:val="0"/>
        </w:rPr>
      </w:r>
      <w:bookmarkStart w:name="_bookmark2" w:id="5"/>
      <w:bookmarkEnd w:id="5"/>
      <w:r>
        <w:rPr/>
        <w:t>规范性引用文件</w:t>
      </w:r>
    </w:p>
    <w:p>
      <w:pPr>
        <w:pStyle w:val="BodyText"/>
        <w:spacing w:line="302" w:lineRule="auto" w:before="108"/>
        <w:ind w:left="300" w:right="255" w:firstLine="479"/>
      </w:pPr>
      <w:r>
        <w:rPr>
          <w:spacing w:val="-4"/>
        </w:rPr>
        <w:t>下列文件中的条款通过本文件的引用而成为本文件的条款。以下引用的文件，注</w:t>
      </w:r>
      <w:r>
        <w:rPr>
          <w:spacing w:val="-17"/>
        </w:rPr>
        <w:t>明日期的，仅引用的版本适用；未注明日期的，引用文件的最新版本</w:t>
      </w:r>
      <w:r>
        <w:rPr/>
        <w:t>（包括任何修订</w:t>
      </w:r>
      <w:r>
        <w:rPr>
          <w:spacing w:val="-17"/>
        </w:rPr>
        <w:t>） </w:t>
      </w:r>
      <w:r>
        <w:rPr/>
        <w:t>适用。</w:t>
      </w:r>
    </w:p>
    <w:p>
      <w:pPr>
        <w:pStyle w:val="BodyText"/>
        <w:spacing w:before="3"/>
        <w:rPr>
          <w:sz w:val="27"/>
        </w:rPr>
      </w:pPr>
    </w:p>
    <w:p>
      <w:pPr>
        <w:pStyle w:val="BodyText"/>
        <w:tabs>
          <w:tab w:pos="2261" w:val="left" w:leader="none"/>
        </w:tabs>
        <w:spacing w:line="302" w:lineRule="auto" w:before="1"/>
        <w:ind w:left="540" w:right="4082"/>
      </w:pPr>
      <w:r>
        <w:rPr>
          <w:rFonts w:ascii="Arial" w:eastAsia="Arial"/>
        </w:rPr>
        <w:t>CNAS-RC01</w:t>
        <w:tab/>
      </w:r>
      <w:r>
        <w:rPr/>
        <w:t>《认证机构认可规则》</w:t>
      </w:r>
      <w:r>
        <w:rPr>
          <w:rFonts w:ascii="Arial" w:eastAsia="Arial"/>
        </w:rPr>
        <w:t>CNAS-RC05</w:t>
        <w:tab/>
      </w:r>
      <w:r>
        <w:rPr/>
        <w:t>《多场所认证机构认可规则</w:t>
      </w:r>
      <w:r>
        <w:rPr>
          <w:spacing w:val="-17"/>
        </w:rPr>
        <w:t>》</w:t>
      </w:r>
      <w:r>
        <w:rPr>
          <w:rFonts w:ascii="Arial" w:eastAsia="Arial"/>
        </w:rPr>
        <w:t>CNAS-CC01</w:t>
        <w:tab/>
      </w:r>
      <w:r>
        <w:rPr/>
        <w:t>《管理体系认证机构要求》</w:t>
      </w:r>
    </w:p>
    <w:p>
      <w:pPr>
        <w:pStyle w:val="BodyText"/>
        <w:tabs>
          <w:tab w:pos="2261" w:val="left" w:leader="none"/>
        </w:tabs>
        <w:spacing w:before="4"/>
        <w:ind w:left="540"/>
      </w:pPr>
      <w:r>
        <w:rPr>
          <w:rFonts w:ascii="Arial" w:eastAsia="Arial"/>
        </w:rPr>
        <w:t>CNAS-CC02</w:t>
        <w:tab/>
      </w:r>
      <w:r>
        <w:rPr/>
        <w:t>《产品、过程和服务认证机构要求》</w:t>
      </w:r>
    </w:p>
    <w:p>
      <w:pPr>
        <w:pStyle w:val="BodyText"/>
        <w:tabs>
          <w:tab w:pos="2261" w:val="left" w:leader="none"/>
        </w:tabs>
        <w:spacing w:before="81"/>
        <w:ind w:left="540"/>
      </w:pPr>
      <w:r>
        <w:rPr>
          <w:rFonts w:ascii="Arial" w:eastAsia="Arial"/>
        </w:rPr>
        <w:t>CNAS-CC03</w:t>
        <w:tab/>
      </w:r>
      <w:r>
        <w:rPr/>
        <w:t>《人员认证机构通用要求》</w:t>
      </w:r>
    </w:p>
    <w:p>
      <w:pPr>
        <w:pStyle w:val="BodyText"/>
        <w:tabs>
          <w:tab w:pos="2261" w:val="left" w:leader="none"/>
        </w:tabs>
        <w:spacing w:before="82"/>
        <w:ind w:left="540"/>
      </w:pPr>
      <w:r>
        <w:rPr>
          <w:rFonts w:ascii="Arial" w:eastAsia="Arial"/>
        </w:rPr>
        <w:t>CNAS-CC51</w:t>
        <w:tab/>
      </w:r>
      <w:r>
        <w:rPr/>
        <w:t>《多场所认证机构认可规则》</w:t>
      </w:r>
    </w:p>
    <w:p>
      <w:pPr>
        <w:pStyle w:val="BodyText"/>
        <w:tabs>
          <w:tab w:pos="2289" w:val="left" w:leader="none"/>
        </w:tabs>
        <w:spacing w:line="302" w:lineRule="auto" w:before="83"/>
        <w:ind w:left="540" w:right="748"/>
      </w:pPr>
      <w:r>
        <w:rPr>
          <w:rFonts w:ascii="Arial" w:eastAsia="Arial"/>
        </w:rPr>
        <w:t>CNAS-ASC01</w:t>
        <w:tab/>
      </w:r>
      <w:r>
        <w:rPr>
          <w:spacing w:val="-2"/>
        </w:rPr>
        <w:t>《中国合格评定国家认可委员会</w:t>
      </w:r>
      <w:r>
        <w:rPr/>
        <w:t>（</w:t>
      </w:r>
      <w:r>
        <w:rPr>
          <w:rFonts w:ascii="Arial" w:eastAsia="Arial"/>
        </w:rPr>
        <w:t>CNAS</w:t>
      </w:r>
      <w:r>
        <w:rPr/>
        <w:t>）</w:t>
      </w:r>
      <w:r>
        <w:rPr>
          <w:spacing w:val="-2"/>
        </w:rPr>
        <w:t>认可制度体系表》</w:t>
      </w:r>
      <w:r>
        <w:rPr/>
        <w:t>认可委</w:t>
      </w:r>
      <w:r>
        <w:rPr>
          <w:rFonts w:ascii="Arial" w:eastAsia="Arial"/>
        </w:rPr>
        <w:t>(</w:t>
      </w:r>
      <w:r>
        <w:rPr/>
        <w:t>秘</w:t>
      </w:r>
      <w:r>
        <w:rPr>
          <w:rFonts w:ascii="Arial" w:eastAsia="Arial"/>
        </w:rPr>
        <w:t>)[2019]37</w:t>
      </w:r>
      <w:r>
        <w:rPr>
          <w:rFonts w:ascii="Arial" w:eastAsia="Arial"/>
          <w:spacing w:val="-7"/>
        </w:rPr>
        <w:t> </w:t>
      </w:r>
      <w:r>
        <w:rPr>
          <w:spacing w:val="-2"/>
        </w:rPr>
        <w:t>号 《关于发布认可收费项目和标准的通知》</w:t>
      </w:r>
    </w:p>
    <w:p>
      <w:pPr>
        <w:pStyle w:val="BodyText"/>
        <w:spacing w:before="8"/>
        <w:rPr>
          <w:sz w:val="26"/>
        </w:rPr>
      </w:pPr>
    </w:p>
    <w:p>
      <w:pPr>
        <w:pStyle w:val="Heading2"/>
        <w:numPr>
          <w:ilvl w:val="0"/>
          <w:numId w:val="2"/>
        </w:numPr>
        <w:tabs>
          <w:tab w:pos="769" w:val="left" w:leader="none"/>
        </w:tabs>
        <w:spacing w:line="240" w:lineRule="auto" w:before="0" w:after="0"/>
        <w:ind w:left="768" w:right="0" w:hanging="468"/>
        <w:jc w:val="both"/>
      </w:pPr>
      <w:bookmarkStart w:name="_bookmark3" w:id="6"/>
      <w:bookmarkEnd w:id="6"/>
      <w:r>
        <w:rPr>
          <w:b w:val="0"/>
        </w:rPr>
      </w:r>
      <w:bookmarkStart w:name="_bookmark3" w:id="7"/>
      <w:bookmarkEnd w:id="7"/>
      <w:r>
        <w:rPr/>
        <w:t>术语和定义</w:t>
      </w:r>
    </w:p>
    <w:p>
      <w:pPr>
        <w:pStyle w:val="BodyText"/>
        <w:spacing w:before="108"/>
        <w:ind w:left="780"/>
      </w:pPr>
      <w:r>
        <w:rPr>
          <w:rFonts w:ascii="Arial" w:eastAsia="Arial"/>
        </w:rPr>
        <w:t>CNAS-RC01</w:t>
      </w:r>
      <w:r>
        <w:rPr/>
        <w:t>、</w:t>
      </w:r>
      <w:r>
        <w:rPr>
          <w:rFonts w:ascii="Arial" w:eastAsia="Arial"/>
        </w:rPr>
        <w:t>CNAS-RC05 </w:t>
      </w:r>
      <w:r>
        <w:rPr/>
        <w:t>及 </w:t>
      </w:r>
      <w:r>
        <w:rPr>
          <w:rFonts w:ascii="Arial" w:eastAsia="Arial"/>
        </w:rPr>
        <w:t>CNAS-CC01</w:t>
      </w:r>
      <w:r>
        <w:rPr/>
        <w:t>、</w:t>
      </w:r>
      <w:r>
        <w:rPr>
          <w:rFonts w:ascii="Arial" w:eastAsia="Arial"/>
        </w:rPr>
        <w:t>CNAS-CC02</w:t>
      </w:r>
      <w:r>
        <w:rPr/>
        <w:t>、</w:t>
      </w:r>
      <w:r>
        <w:rPr>
          <w:rFonts w:ascii="Arial" w:eastAsia="Arial"/>
        </w:rPr>
        <w:t>CNAS--CC03</w:t>
      </w:r>
      <w:r>
        <w:rPr/>
        <w:t>、</w:t>
      </w:r>
    </w:p>
    <w:p>
      <w:pPr>
        <w:pStyle w:val="BodyText"/>
        <w:spacing w:before="82"/>
        <w:ind w:left="300"/>
        <w:jc w:val="both"/>
      </w:pPr>
      <w:r>
        <w:rPr>
          <w:rFonts w:ascii="Arial" w:eastAsia="Arial"/>
        </w:rPr>
        <w:t>CNAS-CC51 </w:t>
      </w:r>
      <w:r>
        <w:rPr/>
        <w:t>中确定的术语和定义适用于本规则。</w:t>
      </w:r>
    </w:p>
    <w:p>
      <w:pPr>
        <w:pStyle w:val="BodyText"/>
        <w:rPr>
          <w:sz w:val="26"/>
        </w:rPr>
      </w:pPr>
    </w:p>
    <w:p>
      <w:pPr>
        <w:pStyle w:val="Heading2"/>
        <w:numPr>
          <w:ilvl w:val="0"/>
          <w:numId w:val="2"/>
        </w:numPr>
        <w:tabs>
          <w:tab w:pos="769" w:val="left" w:leader="none"/>
        </w:tabs>
        <w:spacing w:line="240" w:lineRule="auto" w:before="175" w:after="0"/>
        <w:ind w:left="768" w:right="0" w:hanging="468"/>
        <w:jc w:val="both"/>
      </w:pPr>
      <w:bookmarkStart w:name="_bookmark4" w:id="8"/>
      <w:bookmarkEnd w:id="8"/>
      <w:r>
        <w:rPr>
          <w:b w:val="0"/>
        </w:rPr>
      </w:r>
      <w:bookmarkStart w:name="_bookmark4" w:id="9"/>
      <w:bookmarkEnd w:id="9"/>
      <w:r>
        <w:rPr/>
        <w:t>收费原则和用途</w:t>
      </w:r>
    </w:p>
    <w:p>
      <w:pPr>
        <w:pStyle w:val="BodyText"/>
        <w:spacing w:before="2"/>
        <w:rPr>
          <w:rFonts w:ascii="黑体"/>
          <w:b/>
          <w:sz w:val="35"/>
        </w:rPr>
      </w:pPr>
    </w:p>
    <w:p>
      <w:pPr>
        <w:pStyle w:val="ListParagraph"/>
        <w:numPr>
          <w:ilvl w:val="1"/>
          <w:numId w:val="2"/>
        </w:numPr>
        <w:tabs>
          <w:tab w:pos="762" w:val="left" w:leader="none"/>
        </w:tabs>
        <w:spacing w:line="304" w:lineRule="auto" w:before="1" w:after="0"/>
        <w:ind w:left="300" w:right="371" w:firstLine="0"/>
        <w:jc w:val="left"/>
        <w:rPr>
          <w:sz w:val="24"/>
        </w:rPr>
      </w:pPr>
      <w:r>
        <w:rPr>
          <w:rFonts w:ascii="Arial" w:eastAsia="Arial"/>
          <w:sz w:val="24"/>
        </w:rPr>
        <w:t>CNAS</w:t>
      </w:r>
      <w:r>
        <w:rPr>
          <w:rFonts w:ascii="Arial" w:eastAsia="Arial"/>
          <w:spacing w:val="55"/>
          <w:sz w:val="24"/>
        </w:rPr>
        <w:t> </w:t>
      </w:r>
      <w:r>
        <w:rPr>
          <w:spacing w:val="-5"/>
          <w:sz w:val="24"/>
        </w:rPr>
        <w:t>本着不以赢利为目的的原则向申请认可和获准认可的认证机构收取认可费</w:t>
      </w:r>
      <w:r>
        <w:rPr>
          <w:spacing w:val="-10"/>
          <w:sz w:val="24"/>
        </w:rPr>
        <w:t>用。</w:t>
      </w:r>
    </w:p>
    <w:p>
      <w:pPr>
        <w:pStyle w:val="ListParagraph"/>
        <w:numPr>
          <w:ilvl w:val="1"/>
          <w:numId w:val="2"/>
        </w:numPr>
        <w:tabs>
          <w:tab w:pos="757" w:val="left" w:leader="none"/>
        </w:tabs>
        <w:spacing w:line="304" w:lineRule="auto" w:before="0" w:after="0"/>
        <w:ind w:left="300" w:right="375" w:firstLine="0"/>
        <w:jc w:val="both"/>
        <w:rPr>
          <w:sz w:val="24"/>
        </w:rPr>
      </w:pPr>
      <w:r>
        <w:rPr>
          <w:spacing w:val="-3"/>
          <w:sz w:val="24"/>
        </w:rPr>
        <w:t>认可评审的工作量</w:t>
      </w:r>
      <w:r>
        <w:rPr>
          <w:sz w:val="24"/>
        </w:rPr>
        <w:t>（人日数</w:t>
      </w:r>
      <w:r>
        <w:rPr>
          <w:spacing w:val="-17"/>
          <w:sz w:val="24"/>
        </w:rPr>
        <w:t>）</w:t>
      </w:r>
      <w:r>
        <w:rPr>
          <w:spacing w:val="-5"/>
          <w:sz w:val="24"/>
        </w:rPr>
        <w:t>按照国际惯例，根据申请认可的机构的规模、申请</w:t>
      </w:r>
      <w:r>
        <w:rPr>
          <w:spacing w:val="-7"/>
          <w:sz w:val="24"/>
        </w:rPr>
        <w:t>认可的业务领域和业务范围类型、已颁发认证证书的数量、认证产品类别和产品标准</w:t>
      </w:r>
      <w:r>
        <w:rPr>
          <w:sz w:val="24"/>
        </w:rPr>
        <w:t>的数量，以保证评审工作质量为原则确定。</w:t>
      </w:r>
    </w:p>
    <w:p>
      <w:pPr>
        <w:pStyle w:val="ListParagraph"/>
        <w:numPr>
          <w:ilvl w:val="1"/>
          <w:numId w:val="2"/>
        </w:numPr>
        <w:tabs>
          <w:tab w:pos="757" w:val="left" w:leader="none"/>
        </w:tabs>
        <w:spacing w:line="303" w:lineRule="exact" w:before="0" w:after="0"/>
        <w:ind w:left="756" w:right="0" w:hanging="456"/>
        <w:jc w:val="both"/>
        <w:rPr>
          <w:sz w:val="24"/>
        </w:rPr>
      </w:pPr>
      <w:r>
        <w:rPr>
          <w:spacing w:val="-5"/>
          <w:sz w:val="24"/>
        </w:rPr>
        <w:t>本规则规定的收费标准为基本规则，具体认可评审项目的实际收费将参照国际惯</w:t>
      </w:r>
    </w:p>
    <w:p>
      <w:pPr>
        <w:spacing w:after="0" w:line="303" w:lineRule="exact"/>
        <w:jc w:val="both"/>
        <w:rPr>
          <w:sz w:val="24"/>
        </w:rPr>
        <w:sectPr>
          <w:pgSz w:w="11910" w:h="16850"/>
          <w:pgMar w:header="876" w:footer="985" w:top="1340" w:bottom="1180" w:left="1260" w:right="1180"/>
        </w:sectPr>
      </w:pPr>
    </w:p>
    <w:p>
      <w:pPr>
        <w:pStyle w:val="BodyText"/>
        <w:spacing w:before="67"/>
        <w:ind w:left="300"/>
      </w:pPr>
      <w:r>
        <w:rPr/>
        <w:t>例并考虑到认可评审工作的复杂程度等因素进行核算。</w:t>
      </w:r>
    </w:p>
    <w:p>
      <w:pPr>
        <w:pStyle w:val="ListParagraph"/>
        <w:numPr>
          <w:ilvl w:val="1"/>
          <w:numId w:val="2"/>
        </w:numPr>
        <w:tabs>
          <w:tab w:pos="697" w:val="left" w:leader="none"/>
        </w:tabs>
        <w:spacing w:line="302" w:lineRule="auto" w:before="81" w:after="0"/>
        <w:ind w:left="300" w:right="374" w:firstLine="0"/>
        <w:jc w:val="left"/>
        <w:rPr>
          <w:sz w:val="24"/>
        </w:rPr>
      </w:pPr>
      <w:r>
        <w:rPr>
          <w:rFonts w:ascii="Arial" w:hAnsi="Arial" w:eastAsia="Arial"/>
          <w:sz w:val="24"/>
        </w:rPr>
        <w:t>CNAS</w:t>
      </w:r>
      <w:r>
        <w:rPr>
          <w:rFonts w:ascii="Arial" w:hAnsi="Arial" w:eastAsia="Arial"/>
          <w:spacing w:val="-5"/>
          <w:sz w:val="24"/>
        </w:rPr>
        <w:t> </w:t>
      </w:r>
      <w:r>
        <w:rPr>
          <w:spacing w:val="-5"/>
          <w:sz w:val="24"/>
        </w:rPr>
        <w:t>提供认可服务语言为“中文”，如认证机构的内部管理及认证活动使用非</w:t>
      </w:r>
      <w:r>
        <w:rPr>
          <w:sz w:val="24"/>
        </w:rPr>
        <w:t>中文语言，</w:t>
      </w:r>
      <w:r>
        <w:rPr>
          <w:rFonts w:ascii="Arial" w:hAnsi="Arial" w:eastAsia="Arial"/>
          <w:sz w:val="24"/>
        </w:rPr>
        <w:t>CNAS</w:t>
      </w:r>
      <w:r>
        <w:rPr>
          <w:rFonts w:ascii="Arial" w:hAnsi="Arial" w:eastAsia="Arial"/>
          <w:spacing w:val="-7"/>
          <w:sz w:val="24"/>
        </w:rPr>
        <w:t> </w:t>
      </w:r>
      <w:r>
        <w:rPr>
          <w:sz w:val="24"/>
        </w:rPr>
        <w:t>将根据具体情况增加认可评审人日数。</w:t>
      </w:r>
    </w:p>
    <w:p>
      <w:pPr>
        <w:pStyle w:val="ListParagraph"/>
        <w:numPr>
          <w:ilvl w:val="1"/>
          <w:numId w:val="2"/>
        </w:numPr>
        <w:tabs>
          <w:tab w:pos="697" w:val="left" w:leader="none"/>
        </w:tabs>
        <w:spacing w:line="302" w:lineRule="auto" w:before="3" w:after="0"/>
        <w:ind w:left="300" w:right="375" w:firstLine="0"/>
        <w:jc w:val="left"/>
        <w:rPr>
          <w:sz w:val="24"/>
        </w:rPr>
      </w:pPr>
      <w:r>
        <w:rPr>
          <w:spacing w:val="-17"/>
          <w:sz w:val="24"/>
        </w:rPr>
        <w:t>年金。认可机构按照认可规范要求，对颁发认可证书的申请机构使用认可标识</w:t>
      </w:r>
      <w:r>
        <w:rPr>
          <w:sz w:val="24"/>
        </w:rPr>
        <w:t>（</w:t>
      </w:r>
      <w:r>
        <w:rPr>
          <w:spacing w:val="-15"/>
          <w:sz w:val="24"/>
        </w:rPr>
        <w:t>含</w:t>
      </w:r>
      <w:r>
        <w:rPr>
          <w:sz w:val="24"/>
        </w:rPr>
        <w:t>国际互认标识）、提供有关认可管理和服务。</w:t>
      </w:r>
    </w:p>
    <w:p>
      <w:pPr>
        <w:pStyle w:val="BodyText"/>
        <w:spacing w:before="10"/>
        <w:rPr>
          <w:sz w:val="26"/>
        </w:rPr>
      </w:pPr>
    </w:p>
    <w:p>
      <w:pPr>
        <w:pStyle w:val="Heading2"/>
        <w:numPr>
          <w:ilvl w:val="0"/>
          <w:numId w:val="2"/>
        </w:numPr>
        <w:tabs>
          <w:tab w:pos="768" w:val="left" w:leader="none"/>
          <w:tab w:pos="769" w:val="left" w:leader="none"/>
        </w:tabs>
        <w:spacing w:line="240" w:lineRule="auto" w:before="0" w:after="0"/>
        <w:ind w:left="768" w:right="0" w:hanging="468"/>
        <w:jc w:val="left"/>
      </w:pPr>
      <w:bookmarkStart w:name="_bookmark5" w:id="10"/>
      <w:bookmarkEnd w:id="10"/>
      <w:r>
        <w:rPr>
          <w:b w:val="0"/>
        </w:rPr>
      </w:r>
      <w:bookmarkStart w:name="_bookmark5" w:id="11"/>
      <w:bookmarkEnd w:id="11"/>
      <w:r>
        <w:rPr/>
        <w:t>收费项目与标准</w:t>
      </w:r>
    </w:p>
    <w:p>
      <w:pPr>
        <w:pStyle w:val="ListParagraph"/>
        <w:numPr>
          <w:ilvl w:val="1"/>
          <w:numId w:val="2"/>
        </w:numPr>
        <w:tabs>
          <w:tab w:pos="757" w:val="left" w:leader="none"/>
        </w:tabs>
        <w:spacing w:line="302" w:lineRule="auto" w:before="108" w:after="0"/>
        <w:ind w:left="300" w:right="390" w:firstLine="0"/>
        <w:jc w:val="left"/>
        <w:rPr>
          <w:sz w:val="24"/>
        </w:rPr>
      </w:pPr>
      <w:r>
        <w:rPr>
          <w:spacing w:val="-5"/>
          <w:sz w:val="24"/>
        </w:rPr>
        <w:t>认证机构认可收费项目为：申请费、评审费和认可年金</w:t>
      </w:r>
      <w:r>
        <w:rPr>
          <w:sz w:val="24"/>
        </w:rPr>
        <w:t>（</w:t>
      </w:r>
      <w:r>
        <w:rPr>
          <w:spacing w:val="-5"/>
          <w:sz w:val="24"/>
        </w:rPr>
        <w:t>即认可年度管理费，含</w:t>
      </w:r>
      <w:r>
        <w:rPr>
          <w:sz w:val="24"/>
        </w:rPr>
        <w:t>认可标识使用费）。</w:t>
      </w:r>
    </w:p>
    <w:p>
      <w:pPr>
        <w:pStyle w:val="BodyText"/>
        <w:spacing w:before="3"/>
        <w:ind w:left="720"/>
      </w:pPr>
      <w:r>
        <w:rPr/>
        <w:t>其中：</w:t>
      </w:r>
    </w:p>
    <w:p>
      <w:pPr>
        <w:pStyle w:val="BodyText"/>
        <w:spacing w:line="302" w:lineRule="auto" w:before="82"/>
        <w:ind w:left="300" w:right="373" w:firstLine="420"/>
        <w:jc w:val="both"/>
      </w:pPr>
      <w:r>
        <w:rPr>
          <w:spacing w:val="-4"/>
        </w:rPr>
        <w:t>申请费涉及初次认可、复评、扩大认可领域、扩大业务领域和增加关键场所的申</w:t>
      </w:r>
      <w:r>
        <w:rPr/>
        <w:t>请；</w:t>
      </w:r>
    </w:p>
    <w:p>
      <w:pPr>
        <w:pStyle w:val="BodyText"/>
        <w:spacing w:line="304" w:lineRule="auto" w:before="2"/>
        <w:ind w:left="300" w:right="371" w:firstLine="420"/>
        <w:jc w:val="both"/>
      </w:pPr>
      <w:r>
        <w:rPr>
          <w:spacing w:val="-5"/>
        </w:rPr>
        <w:t>评审费包括初评、监督、复评与扩大认可领域、扩大业务领域、扩大业务范围和</w:t>
      </w:r>
      <w:r>
        <w:rPr>
          <w:spacing w:val="-7"/>
        </w:rPr>
        <w:t>增加关键场所的文件审查、现场评审、见证评审、不符合验证等评审活动所发生的费</w:t>
      </w:r>
      <w:r>
        <w:rPr>
          <w:spacing w:val="-10"/>
        </w:rPr>
        <w:t>用，不包括评审过程中所发生的交通和食宿费用</w:t>
      </w:r>
      <w:r>
        <w:rPr/>
        <w:t>（</w:t>
      </w:r>
      <w:r>
        <w:rPr>
          <w:spacing w:val="-1"/>
        </w:rPr>
        <w:t>按实际支出由申请人或获准认可机</w:t>
      </w:r>
      <w:r>
        <w:rPr/>
        <w:t>构承担）。</w:t>
      </w:r>
    </w:p>
    <w:p>
      <w:pPr>
        <w:pStyle w:val="ListParagraph"/>
        <w:numPr>
          <w:ilvl w:val="1"/>
          <w:numId w:val="2"/>
        </w:numPr>
        <w:tabs>
          <w:tab w:pos="757" w:val="left" w:leader="none"/>
        </w:tabs>
        <w:spacing w:line="303" w:lineRule="exact" w:before="0" w:after="0"/>
        <w:ind w:left="756" w:right="0" w:hanging="456"/>
        <w:jc w:val="left"/>
        <w:rPr>
          <w:sz w:val="24"/>
        </w:rPr>
      </w:pPr>
      <w:r>
        <w:rPr>
          <w:sz w:val="24"/>
        </w:rPr>
        <w:t>收费标准为：</w:t>
      </w:r>
    </w:p>
    <w:p>
      <w:pPr>
        <w:pStyle w:val="BodyText"/>
        <w:rPr>
          <w:sz w:val="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1"/>
        <w:gridCol w:w="2030"/>
        <w:gridCol w:w="6206"/>
      </w:tblGrid>
      <w:tr>
        <w:trPr>
          <w:trHeight w:val="298" w:hRule="atLeast"/>
        </w:trPr>
        <w:tc>
          <w:tcPr>
            <w:tcW w:w="861" w:type="dxa"/>
          </w:tcPr>
          <w:p>
            <w:pPr>
              <w:pStyle w:val="TableParagraph"/>
              <w:spacing w:line="274" w:lineRule="exact"/>
              <w:ind w:left="200"/>
              <w:rPr>
                <w:sz w:val="24"/>
              </w:rPr>
            </w:pPr>
            <w:r>
              <w:rPr>
                <w:sz w:val="24"/>
              </w:rPr>
              <w:t>序号</w:t>
            </w:r>
          </w:p>
        </w:tc>
        <w:tc>
          <w:tcPr>
            <w:tcW w:w="2030" w:type="dxa"/>
          </w:tcPr>
          <w:p>
            <w:pPr>
              <w:pStyle w:val="TableParagraph"/>
              <w:spacing w:line="274" w:lineRule="exact"/>
              <w:ind w:left="181"/>
              <w:rPr>
                <w:sz w:val="24"/>
              </w:rPr>
            </w:pPr>
            <w:r>
              <w:rPr>
                <w:sz w:val="24"/>
              </w:rPr>
              <w:t>收费项目</w:t>
            </w:r>
          </w:p>
        </w:tc>
        <w:tc>
          <w:tcPr>
            <w:tcW w:w="6206" w:type="dxa"/>
          </w:tcPr>
          <w:p>
            <w:pPr>
              <w:pStyle w:val="TableParagraph"/>
              <w:spacing w:line="274" w:lineRule="exact"/>
              <w:ind w:left="110"/>
              <w:rPr>
                <w:sz w:val="24"/>
              </w:rPr>
            </w:pPr>
            <w:r>
              <w:rPr>
                <w:sz w:val="24"/>
              </w:rPr>
              <w:t>收费标准</w:t>
            </w:r>
          </w:p>
        </w:tc>
      </w:tr>
      <w:tr>
        <w:trPr>
          <w:trHeight w:val="397" w:hRule="atLeast"/>
        </w:trPr>
        <w:tc>
          <w:tcPr>
            <w:tcW w:w="861" w:type="dxa"/>
          </w:tcPr>
          <w:p>
            <w:pPr>
              <w:pStyle w:val="TableParagraph"/>
              <w:spacing w:before="50"/>
              <w:ind w:left="200"/>
              <w:rPr>
                <w:rFonts w:ascii="Arial"/>
                <w:sz w:val="24"/>
              </w:rPr>
            </w:pPr>
            <w:r>
              <w:rPr>
                <w:rFonts w:ascii="Arial"/>
                <w:w w:val="99"/>
                <w:sz w:val="24"/>
              </w:rPr>
              <w:t>1</w:t>
            </w:r>
          </w:p>
        </w:tc>
        <w:tc>
          <w:tcPr>
            <w:tcW w:w="2030" w:type="dxa"/>
          </w:tcPr>
          <w:p>
            <w:pPr>
              <w:pStyle w:val="TableParagraph"/>
              <w:spacing w:before="57"/>
              <w:ind w:left="181"/>
              <w:rPr>
                <w:sz w:val="24"/>
              </w:rPr>
            </w:pPr>
            <w:r>
              <w:rPr>
                <w:sz w:val="24"/>
              </w:rPr>
              <w:t>申请费</w:t>
            </w:r>
          </w:p>
        </w:tc>
        <w:tc>
          <w:tcPr>
            <w:tcW w:w="6206" w:type="dxa"/>
          </w:tcPr>
          <w:p>
            <w:pPr>
              <w:pStyle w:val="TableParagraph"/>
              <w:spacing w:before="57"/>
              <w:ind w:left="110"/>
              <w:rPr>
                <w:sz w:val="24"/>
              </w:rPr>
            </w:pPr>
            <w:r>
              <w:rPr>
                <w:rFonts w:ascii="Arial" w:eastAsia="Arial"/>
                <w:sz w:val="24"/>
              </w:rPr>
              <w:t>500 </w:t>
            </w:r>
            <w:r>
              <w:rPr>
                <w:sz w:val="24"/>
              </w:rPr>
              <w:t>元</w:t>
            </w:r>
            <w:r>
              <w:rPr>
                <w:rFonts w:ascii="Arial" w:eastAsia="Arial"/>
                <w:sz w:val="24"/>
              </w:rPr>
              <w:t>/</w:t>
            </w:r>
            <w:r>
              <w:rPr>
                <w:sz w:val="24"/>
              </w:rPr>
              <w:t>次</w:t>
            </w:r>
          </w:p>
        </w:tc>
      </w:tr>
      <w:tr>
        <w:trPr>
          <w:trHeight w:val="769" w:hRule="atLeast"/>
        </w:trPr>
        <w:tc>
          <w:tcPr>
            <w:tcW w:w="861" w:type="dxa"/>
          </w:tcPr>
          <w:p>
            <w:pPr>
              <w:pStyle w:val="TableParagraph"/>
              <w:spacing w:before="41"/>
              <w:ind w:left="200"/>
              <w:rPr>
                <w:rFonts w:ascii="Arial"/>
                <w:sz w:val="24"/>
              </w:rPr>
            </w:pPr>
            <w:r>
              <w:rPr>
                <w:rFonts w:ascii="Arial"/>
                <w:w w:val="99"/>
                <w:sz w:val="24"/>
              </w:rPr>
              <w:t>2</w:t>
            </w:r>
          </w:p>
        </w:tc>
        <w:tc>
          <w:tcPr>
            <w:tcW w:w="2030" w:type="dxa"/>
          </w:tcPr>
          <w:p>
            <w:pPr>
              <w:pStyle w:val="TableParagraph"/>
              <w:spacing w:before="48"/>
              <w:ind w:left="181"/>
              <w:rPr>
                <w:sz w:val="24"/>
              </w:rPr>
            </w:pPr>
            <w:r>
              <w:rPr>
                <w:sz w:val="24"/>
              </w:rPr>
              <w:t>评审费</w:t>
            </w:r>
          </w:p>
          <w:p>
            <w:pPr>
              <w:pStyle w:val="TableParagraph"/>
              <w:spacing w:before="81"/>
              <w:ind w:left="181"/>
              <w:rPr>
                <w:sz w:val="24"/>
              </w:rPr>
            </w:pPr>
            <w:r>
              <w:rPr>
                <w:sz w:val="24"/>
              </w:rPr>
              <w:t>（不含差旅费）</w:t>
            </w:r>
          </w:p>
        </w:tc>
        <w:tc>
          <w:tcPr>
            <w:tcW w:w="6206" w:type="dxa"/>
          </w:tcPr>
          <w:p>
            <w:pPr>
              <w:pStyle w:val="TableParagraph"/>
              <w:spacing w:before="48"/>
              <w:ind w:left="110"/>
              <w:rPr>
                <w:sz w:val="24"/>
              </w:rPr>
            </w:pPr>
            <w:r>
              <w:rPr>
                <w:rFonts w:ascii="Arial" w:eastAsia="Arial"/>
                <w:sz w:val="24"/>
              </w:rPr>
              <w:t>2400 </w:t>
            </w:r>
            <w:r>
              <w:rPr>
                <w:sz w:val="24"/>
              </w:rPr>
              <w:t>元</w:t>
            </w:r>
            <w:r>
              <w:rPr>
                <w:rFonts w:ascii="Arial" w:eastAsia="Arial"/>
                <w:sz w:val="24"/>
              </w:rPr>
              <w:t>/</w:t>
            </w:r>
            <w:r>
              <w:rPr>
                <w:sz w:val="24"/>
              </w:rPr>
              <w:t>人日</w:t>
            </w:r>
          </w:p>
        </w:tc>
      </w:tr>
      <w:tr>
        <w:trPr>
          <w:trHeight w:val="4238" w:hRule="atLeast"/>
        </w:trPr>
        <w:tc>
          <w:tcPr>
            <w:tcW w:w="861" w:type="dxa"/>
          </w:tcPr>
          <w:p>
            <w:pPr>
              <w:pStyle w:val="TableParagraph"/>
              <w:spacing w:before="50"/>
              <w:ind w:left="200"/>
              <w:rPr>
                <w:rFonts w:ascii="Arial"/>
                <w:sz w:val="24"/>
              </w:rPr>
            </w:pPr>
            <w:r>
              <w:rPr>
                <w:rFonts w:ascii="Arial"/>
                <w:w w:val="99"/>
                <w:sz w:val="24"/>
              </w:rPr>
              <w:t>3</w:t>
            </w:r>
          </w:p>
        </w:tc>
        <w:tc>
          <w:tcPr>
            <w:tcW w:w="2030" w:type="dxa"/>
          </w:tcPr>
          <w:p>
            <w:pPr>
              <w:pStyle w:val="TableParagraph"/>
              <w:spacing w:before="57"/>
              <w:ind w:left="181"/>
              <w:rPr>
                <w:sz w:val="24"/>
              </w:rPr>
            </w:pPr>
            <w:r>
              <w:rPr>
                <w:sz w:val="24"/>
              </w:rPr>
              <w:t>认可年度管理费</w:t>
            </w:r>
          </w:p>
          <w:p>
            <w:pPr>
              <w:pStyle w:val="TableParagraph"/>
              <w:spacing w:before="81"/>
              <w:ind w:left="181"/>
              <w:rPr>
                <w:sz w:val="24"/>
              </w:rPr>
            </w:pPr>
            <w:r>
              <w:rPr>
                <w:sz w:val="24"/>
              </w:rPr>
              <w:t>（年金）</w:t>
            </w:r>
          </w:p>
        </w:tc>
        <w:tc>
          <w:tcPr>
            <w:tcW w:w="6206" w:type="dxa"/>
          </w:tcPr>
          <w:p>
            <w:pPr>
              <w:pStyle w:val="TableParagraph"/>
              <w:numPr>
                <w:ilvl w:val="0"/>
                <w:numId w:val="3"/>
              </w:numPr>
              <w:tabs>
                <w:tab w:pos="486" w:val="left" w:leader="none"/>
              </w:tabs>
              <w:spacing w:line="240" w:lineRule="auto" w:before="57" w:after="0"/>
              <w:ind w:left="485" w:right="0" w:hanging="375"/>
              <w:jc w:val="left"/>
              <w:rPr>
                <w:rFonts w:ascii="Arial" w:eastAsia="Arial"/>
                <w:sz w:val="22"/>
              </w:rPr>
            </w:pPr>
            <w:r>
              <w:rPr>
                <w:spacing w:val="-1"/>
                <w:sz w:val="24"/>
              </w:rPr>
              <w:t>管理体系认证机构，按初次认证证书 </w:t>
            </w:r>
            <w:r>
              <w:rPr>
                <w:rFonts w:ascii="Arial" w:eastAsia="Arial"/>
                <w:sz w:val="24"/>
              </w:rPr>
              <w:t>350</w:t>
            </w:r>
            <w:r>
              <w:rPr>
                <w:rFonts w:ascii="Arial" w:eastAsia="Arial"/>
                <w:spacing w:val="51"/>
                <w:sz w:val="24"/>
              </w:rPr>
              <w:t> </w:t>
            </w:r>
            <w:r>
              <w:rPr>
                <w:spacing w:val="-3"/>
                <w:sz w:val="24"/>
              </w:rPr>
              <w:t>元</w:t>
            </w:r>
            <w:r>
              <w:rPr>
                <w:rFonts w:ascii="Arial" w:eastAsia="Arial"/>
                <w:sz w:val="24"/>
              </w:rPr>
              <w:t>/</w:t>
            </w:r>
            <w:r>
              <w:rPr>
                <w:sz w:val="24"/>
              </w:rPr>
              <w:t>张、再</w:t>
            </w:r>
          </w:p>
          <w:p>
            <w:pPr>
              <w:pStyle w:val="TableParagraph"/>
              <w:spacing w:line="304" w:lineRule="auto" w:before="81"/>
              <w:ind w:left="484" w:right="212"/>
              <w:rPr>
                <w:sz w:val="24"/>
              </w:rPr>
            </w:pPr>
            <w:r>
              <w:rPr>
                <w:sz w:val="24"/>
              </w:rPr>
              <w:t>认证证书 </w:t>
            </w:r>
            <w:r>
              <w:rPr>
                <w:rFonts w:ascii="Arial" w:eastAsia="Arial"/>
                <w:sz w:val="24"/>
              </w:rPr>
              <w:t>200</w:t>
            </w:r>
            <w:r>
              <w:rPr>
                <w:rFonts w:ascii="Arial" w:eastAsia="Arial"/>
                <w:spacing w:val="6"/>
                <w:sz w:val="24"/>
              </w:rPr>
              <w:t> </w:t>
            </w:r>
            <w:r>
              <w:rPr>
                <w:sz w:val="24"/>
              </w:rPr>
              <w:t>元</w:t>
            </w:r>
            <w:r>
              <w:rPr>
                <w:rFonts w:ascii="Arial" w:eastAsia="Arial"/>
                <w:sz w:val="24"/>
              </w:rPr>
              <w:t>/</w:t>
            </w:r>
            <w:r>
              <w:rPr>
                <w:spacing w:val="-2"/>
                <w:sz w:val="24"/>
              </w:rPr>
              <w:t>张、对证书的监督审核 </w:t>
            </w:r>
            <w:r>
              <w:rPr>
                <w:rFonts w:ascii="Arial" w:eastAsia="Arial"/>
                <w:sz w:val="24"/>
              </w:rPr>
              <w:t>80</w:t>
            </w:r>
            <w:r>
              <w:rPr>
                <w:rFonts w:ascii="Arial" w:eastAsia="Arial"/>
                <w:spacing w:val="3"/>
                <w:sz w:val="24"/>
              </w:rPr>
              <w:t> </w:t>
            </w:r>
            <w:r>
              <w:rPr>
                <w:sz w:val="24"/>
              </w:rPr>
              <w:t>元</w:t>
            </w:r>
            <w:r>
              <w:rPr>
                <w:rFonts w:ascii="Arial" w:eastAsia="Arial"/>
                <w:sz w:val="24"/>
              </w:rPr>
              <w:t>/</w:t>
            </w:r>
            <w:r>
              <w:rPr>
                <w:spacing w:val="-6"/>
                <w:sz w:val="24"/>
              </w:rPr>
              <w:t>次计</w:t>
            </w:r>
            <w:r>
              <w:rPr>
                <w:sz w:val="24"/>
              </w:rPr>
              <w:t>收；</w:t>
            </w:r>
          </w:p>
          <w:p>
            <w:pPr>
              <w:pStyle w:val="TableParagraph"/>
              <w:numPr>
                <w:ilvl w:val="0"/>
                <w:numId w:val="3"/>
              </w:numPr>
              <w:tabs>
                <w:tab w:pos="485" w:val="left" w:leader="none"/>
              </w:tabs>
              <w:spacing w:line="306" w:lineRule="exact" w:before="0" w:after="0"/>
              <w:ind w:left="484" w:right="0" w:hanging="374"/>
              <w:jc w:val="left"/>
              <w:rPr>
                <w:sz w:val="22"/>
              </w:rPr>
            </w:pPr>
            <w:r>
              <w:rPr>
                <w:spacing w:val="-1"/>
                <w:sz w:val="24"/>
              </w:rPr>
              <w:t>产品认证机构，按每一组织首张证书 </w:t>
            </w:r>
            <w:r>
              <w:rPr>
                <w:sz w:val="24"/>
              </w:rPr>
              <w:t>150</w:t>
            </w:r>
            <w:r>
              <w:rPr>
                <w:spacing w:val="-4"/>
                <w:sz w:val="24"/>
              </w:rPr>
              <w:t> 元</w:t>
            </w:r>
            <w:r>
              <w:rPr>
                <w:spacing w:val="-3"/>
                <w:sz w:val="24"/>
              </w:rPr>
              <w:t>/</w:t>
            </w:r>
            <w:r>
              <w:rPr>
                <w:sz w:val="24"/>
              </w:rPr>
              <w:t>张，该</w:t>
            </w:r>
          </w:p>
          <w:p>
            <w:pPr>
              <w:pStyle w:val="TableParagraph"/>
              <w:spacing w:before="82"/>
              <w:ind w:left="484"/>
              <w:rPr>
                <w:sz w:val="24"/>
              </w:rPr>
            </w:pPr>
            <w:r>
              <w:rPr>
                <w:sz w:val="24"/>
              </w:rPr>
              <w:t>组织后续证书 50 元/张计收。</w:t>
            </w:r>
          </w:p>
          <w:p>
            <w:pPr>
              <w:pStyle w:val="TableParagraph"/>
              <w:numPr>
                <w:ilvl w:val="0"/>
                <w:numId w:val="3"/>
              </w:numPr>
              <w:tabs>
                <w:tab w:pos="485" w:val="left" w:leader="none"/>
              </w:tabs>
              <w:spacing w:line="302" w:lineRule="auto" w:before="81" w:after="0"/>
              <w:ind w:left="484" w:right="198" w:hanging="374"/>
              <w:jc w:val="both"/>
              <w:rPr>
                <w:sz w:val="22"/>
              </w:rPr>
            </w:pPr>
            <w:r>
              <w:rPr>
                <w:spacing w:val="-2"/>
                <w:sz w:val="24"/>
              </w:rPr>
              <w:t>按照年金总额阶梯计收年金，即管理体系和产品认证</w:t>
            </w:r>
            <w:r>
              <w:rPr>
                <w:spacing w:val="-8"/>
                <w:sz w:val="24"/>
              </w:rPr>
              <w:t>机构的年金分别在低于 </w:t>
            </w:r>
            <w:r>
              <w:rPr>
                <w:sz w:val="24"/>
              </w:rPr>
              <w:t>50</w:t>
            </w:r>
            <w:r>
              <w:rPr>
                <w:spacing w:val="-20"/>
                <w:sz w:val="24"/>
              </w:rPr>
              <w:t> 万元(含 </w:t>
            </w:r>
            <w:r>
              <w:rPr>
                <w:sz w:val="24"/>
              </w:rPr>
              <w:t>50</w:t>
            </w:r>
            <w:r>
              <w:rPr>
                <w:spacing w:val="-10"/>
                <w:sz w:val="24"/>
              </w:rPr>
              <w:t> 万元)的部分， </w:t>
            </w:r>
            <w:r>
              <w:rPr>
                <w:spacing w:val="-18"/>
                <w:sz w:val="24"/>
              </w:rPr>
              <w:t>按实际发生额缴纳；在 </w:t>
            </w:r>
            <w:r>
              <w:rPr>
                <w:sz w:val="24"/>
              </w:rPr>
              <w:t>50(</w:t>
            </w:r>
            <w:r>
              <w:rPr>
                <w:spacing w:val="-22"/>
                <w:sz w:val="24"/>
              </w:rPr>
              <w:t>不含 </w:t>
            </w:r>
            <w:r>
              <w:rPr>
                <w:sz w:val="24"/>
              </w:rPr>
              <w:t>50</w:t>
            </w:r>
            <w:r>
              <w:rPr>
                <w:spacing w:val="-22"/>
                <w:sz w:val="24"/>
              </w:rPr>
              <w:t> 万元</w:t>
            </w:r>
            <w:r>
              <w:rPr>
                <w:sz w:val="24"/>
              </w:rPr>
              <w:t>)-200</w:t>
            </w:r>
            <w:r>
              <w:rPr>
                <w:spacing w:val="-14"/>
                <w:sz w:val="24"/>
              </w:rPr>
              <w:t> 万元(含</w:t>
            </w:r>
          </w:p>
          <w:p>
            <w:pPr>
              <w:pStyle w:val="TableParagraph"/>
              <w:spacing w:line="302" w:lineRule="auto" w:before="4"/>
              <w:ind w:left="484" w:right="212"/>
              <w:rPr>
                <w:sz w:val="24"/>
              </w:rPr>
            </w:pPr>
            <w:r>
              <w:rPr>
                <w:sz w:val="24"/>
              </w:rPr>
              <w:t>200</w:t>
            </w:r>
            <w:r>
              <w:rPr>
                <w:spacing w:val="-13"/>
                <w:sz w:val="24"/>
              </w:rPr>
              <w:t> 万元)之间的部分，按 </w:t>
            </w:r>
            <w:r>
              <w:rPr>
                <w:sz w:val="24"/>
              </w:rPr>
              <w:t>65%</w:t>
            </w:r>
            <w:r>
              <w:rPr>
                <w:spacing w:val="-13"/>
                <w:sz w:val="24"/>
              </w:rPr>
              <w:t>缴纳；高于 </w:t>
            </w:r>
            <w:r>
              <w:rPr>
                <w:sz w:val="24"/>
              </w:rPr>
              <w:t>200</w:t>
            </w:r>
            <w:r>
              <w:rPr>
                <w:spacing w:val="-19"/>
                <w:sz w:val="24"/>
              </w:rPr>
              <w:t> 万元的</w:t>
            </w:r>
            <w:r>
              <w:rPr>
                <w:spacing w:val="-12"/>
                <w:sz w:val="24"/>
              </w:rPr>
              <w:t>部分，按 </w:t>
            </w:r>
            <w:r>
              <w:rPr>
                <w:sz w:val="24"/>
              </w:rPr>
              <w:t>60%缴纳。</w:t>
            </w:r>
          </w:p>
          <w:p>
            <w:pPr>
              <w:pStyle w:val="TableParagraph"/>
              <w:numPr>
                <w:ilvl w:val="0"/>
                <w:numId w:val="3"/>
              </w:numPr>
              <w:tabs>
                <w:tab w:pos="472" w:val="left" w:leader="none"/>
              </w:tabs>
              <w:spacing w:line="271" w:lineRule="exact" w:before="3" w:after="0"/>
              <w:ind w:left="471" w:right="0" w:hanging="361"/>
              <w:jc w:val="left"/>
              <w:rPr>
                <w:sz w:val="22"/>
              </w:rPr>
            </w:pPr>
            <w:r>
              <w:rPr>
                <w:spacing w:val="-4"/>
                <w:sz w:val="24"/>
              </w:rPr>
              <w:t>人员认证机构年度人员注册费收入的 </w:t>
            </w:r>
            <w:r>
              <w:rPr>
                <w:rFonts w:ascii="Arial" w:eastAsia="Arial"/>
                <w:sz w:val="24"/>
              </w:rPr>
              <w:t>1%</w:t>
            </w:r>
            <w:r>
              <w:rPr>
                <w:sz w:val="24"/>
              </w:rPr>
              <w:t>计收。</w:t>
            </w:r>
          </w:p>
        </w:tc>
      </w:tr>
    </w:tbl>
    <w:p>
      <w:pPr>
        <w:pStyle w:val="BodyText"/>
        <w:spacing w:line="304" w:lineRule="auto" w:before="98"/>
        <w:ind w:left="300" w:right="377"/>
        <w:rPr>
          <w:rFonts w:ascii="仿宋" w:eastAsia="仿宋" w:hint="eastAsia"/>
        </w:rPr>
      </w:pPr>
      <w:r>
        <w:rPr>
          <w:rFonts w:ascii="仿宋" w:eastAsia="仿宋" w:hint="eastAsia"/>
          <w:spacing w:val="-6"/>
        </w:rPr>
        <w:t>注：</w:t>
      </w:r>
      <w:r>
        <w:rPr>
          <w:rFonts w:ascii="仿宋" w:eastAsia="仿宋" w:hint="eastAsia"/>
          <w:spacing w:val="-11"/>
        </w:rPr>
        <w:t>1.</w:t>
      </w:r>
      <w:r>
        <w:rPr>
          <w:rFonts w:ascii="仿宋" w:eastAsia="仿宋" w:hint="eastAsia"/>
          <w:spacing w:val="-5"/>
        </w:rPr>
        <w:t>认可机构在认可过程中发生的交通、住宿等差旅费，按照国际惯例由申请机构</w:t>
      </w:r>
      <w:r>
        <w:rPr>
          <w:rFonts w:ascii="仿宋" w:eastAsia="仿宋" w:hint="eastAsia"/>
        </w:rPr>
        <w:t>承担，具体标准可以参照国家相关差旅费规定执行。</w:t>
      </w:r>
    </w:p>
    <w:p>
      <w:pPr>
        <w:pStyle w:val="BodyText"/>
        <w:spacing w:line="307" w:lineRule="exact"/>
        <w:ind w:left="780"/>
        <w:rPr>
          <w:rFonts w:ascii="仿宋" w:eastAsia="仿宋" w:hint="eastAsia"/>
        </w:rPr>
      </w:pPr>
      <w:r>
        <w:rPr>
          <w:rFonts w:ascii="仿宋" w:eastAsia="仿宋" w:hint="eastAsia"/>
        </w:rPr>
        <w:t>2.认可年度管理费（年金）的年度计算周期为日历年。</w:t>
      </w:r>
    </w:p>
    <w:p>
      <w:pPr>
        <w:pStyle w:val="ListParagraph"/>
        <w:numPr>
          <w:ilvl w:val="1"/>
          <w:numId w:val="2"/>
        </w:numPr>
        <w:tabs>
          <w:tab w:pos="757" w:val="left" w:leader="none"/>
        </w:tabs>
        <w:spacing w:line="240" w:lineRule="auto" w:before="81" w:after="0"/>
        <w:ind w:left="756" w:right="0" w:hanging="456"/>
        <w:jc w:val="left"/>
        <w:rPr>
          <w:sz w:val="24"/>
        </w:rPr>
      </w:pPr>
      <w:r>
        <w:rPr>
          <w:spacing w:val="-4"/>
          <w:sz w:val="24"/>
        </w:rPr>
        <w:t>对在中华人民共和国境外实施合格评定活动的认证机构，具体收费项目和标准按</w:t>
      </w:r>
    </w:p>
    <w:p>
      <w:pPr>
        <w:spacing w:after="0" w:line="240" w:lineRule="auto"/>
        <w:jc w:val="left"/>
        <w:rPr>
          <w:sz w:val="24"/>
        </w:rPr>
        <w:sectPr>
          <w:pgSz w:w="11910" w:h="16850"/>
          <w:pgMar w:header="876" w:footer="985" w:top="1340" w:bottom="1180" w:left="1260" w:right="1180"/>
        </w:sectPr>
      </w:pPr>
    </w:p>
    <w:p>
      <w:pPr>
        <w:pStyle w:val="BodyText"/>
        <w:spacing w:before="67"/>
        <w:ind w:left="300"/>
        <w:jc w:val="both"/>
      </w:pPr>
      <w:r>
        <w:rPr/>
        <w:t>照国际惯例由双方协商并在认可合同中约定。</w:t>
      </w:r>
    </w:p>
    <w:p>
      <w:pPr>
        <w:pStyle w:val="BodyText"/>
        <w:spacing w:before="12"/>
        <w:rPr>
          <w:sz w:val="32"/>
        </w:rPr>
      </w:pPr>
    </w:p>
    <w:p>
      <w:pPr>
        <w:pStyle w:val="Heading2"/>
        <w:numPr>
          <w:ilvl w:val="0"/>
          <w:numId w:val="2"/>
        </w:numPr>
        <w:tabs>
          <w:tab w:pos="769" w:val="left" w:leader="none"/>
        </w:tabs>
        <w:spacing w:line="240" w:lineRule="auto" w:before="0" w:after="0"/>
        <w:ind w:left="768" w:right="0" w:hanging="468"/>
        <w:jc w:val="both"/>
      </w:pPr>
      <w:bookmarkStart w:name="_bookmark6" w:id="12"/>
      <w:bookmarkEnd w:id="12"/>
      <w:r>
        <w:rPr>
          <w:b w:val="0"/>
        </w:rPr>
      </w:r>
      <w:bookmarkStart w:name="_bookmark6" w:id="13"/>
      <w:bookmarkEnd w:id="13"/>
      <w:r>
        <w:rPr/>
        <w:t>收费方法</w:t>
      </w:r>
    </w:p>
    <w:p>
      <w:pPr>
        <w:pStyle w:val="ListParagraph"/>
        <w:numPr>
          <w:ilvl w:val="1"/>
          <w:numId w:val="2"/>
        </w:numPr>
        <w:tabs>
          <w:tab w:pos="757" w:val="left" w:leader="none"/>
        </w:tabs>
        <w:spacing w:line="240" w:lineRule="auto" w:before="105" w:after="0"/>
        <w:ind w:left="756" w:right="0" w:hanging="456"/>
        <w:jc w:val="both"/>
        <w:rPr>
          <w:sz w:val="24"/>
        </w:rPr>
      </w:pPr>
      <w:r>
        <w:rPr>
          <w:spacing w:val="-7"/>
          <w:sz w:val="24"/>
        </w:rPr>
        <w:t>申请费由申请人在向 </w:t>
      </w:r>
      <w:r>
        <w:rPr>
          <w:rFonts w:ascii="Arial" w:eastAsia="Arial"/>
          <w:sz w:val="24"/>
        </w:rPr>
        <w:t>CNAS</w:t>
      </w:r>
      <w:r>
        <w:rPr>
          <w:rFonts w:ascii="Arial" w:eastAsia="Arial"/>
          <w:spacing w:val="-6"/>
          <w:sz w:val="24"/>
        </w:rPr>
        <w:t> </w:t>
      </w:r>
      <w:r>
        <w:rPr>
          <w:sz w:val="24"/>
        </w:rPr>
        <w:t>提出认可申请时一并交付。</w:t>
      </w:r>
    </w:p>
    <w:p>
      <w:pPr>
        <w:pStyle w:val="ListParagraph"/>
        <w:numPr>
          <w:ilvl w:val="1"/>
          <w:numId w:val="2"/>
        </w:numPr>
        <w:tabs>
          <w:tab w:pos="757" w:val="left" w:leader="none"/>
        </w:tabs>
        <w:spacing w:line="240" w:lineRule="auto" w:before="82" w:after="0"/>
        <w:ind w:left="756" w:right="0" w:hanging="456"/>
        <w:jc w:val="both"/>
        <w:rPr>
          <w:sz w:val="24"/>
        </w:rPr>
      </w:pPr>
      <w:r>
        <w:rPr>
          <w:spacing w:val="-5"/>
          <w:sz w:val="24"/>
        </w:rPr>
        <w:t>评审费在该次评审结束后认可评定之前由 </w:t>
      </w:r>
      <w:r>
        <w:rPr>
          <w:rFonts w:ascii="Arial" w:eastAsia="Arial"/>
          <w:sz w:val="24"/>
        </w:rPr>
        <w:t>CNAS</w:t>
      </w:r>
      <w:r>
        <w:rPr>
          <w:rFonts w:ascii="Arial" w:eastAsia="Arial"/>
          <w:spacing w:val="-6"/>
          <w:sz w:val="24"/>
        </w:rPr>
        <w:t> </w:t>
      </w:r>
      <w:r>
        <w:rPr>
          <w:sz w:val="24"/>
        </w:rPr>
        <w:t>核算并通知认证机构交付。</w:t>
      </w:r>
    </w:p>
    <w:p>
      <w:pPr>
        <w:pStyle w:val="ListParagraph"/>
        <w:numPr>
          <w:ilvl w:val="1"/>
          <w:numId w:val="2"/>
        </w:numPr>
        <w:tabs>
          <w:tab w:pos="757" w:val="left" w:leader="none"/>
        </w:tabs>
        <w:spacing w:line="302" w:lineRule="auto" w:before="83" w:after="0"/>
        <w:ind w:left="300" w:right="372" w:firstLine="0"/>
        <w:jc w:val="both"/>
        <w:rPr>
          <w:sz w:val="24"/>
        </w:rPr>
      </w:pPr>
      <w:r>
        <w:rPr>
          <w:spacing w:val="-6"/>
          <w:sz w:val="24"/>
        </w:rPr>
        <w:t>获准认可的认证机构在每年的 </w:t>
      </w:r>
      <w:r>
        <w:rPr>
          <w:rFonts w:ascii="Arial" w:eastAsia="Arial"/>
          <w:sz w:val="24"/>
        </w:rPr>
        <w:t>3</w:t>
      </w:r>
      <w:r>
        <w:rPr>
          <w:rFonts w:ascii="Arial" w:eastAsia="Arial"/>
          <w:spacing w:val="-16"/>
          <w:sz w:val="24"/>
        </w:rPr>
        <w:t> </w:t>
      </w:r>
      <w:r>
        <w:rPr>
          <w:spacing w:val="-35"/>
          <w:sz w:val="24"/>
        </w:rPr>
        <w:t>月 </w:t>
      </w:r>
      <w:r>
        <w:rPr>
          <w:rFonts w:ascii="Arial" w:eastAsia="Arial"/>
          <w:sz w:val="24"/>
        </w:rPr>
        <w:t>31</w:t>
      </w:r>
      <w:r>
        <w:rPr>
          <w:rFonts w:ascii="Arial" w:eastAsia="Arial"/>
          <w:spacing w:val="-16"/>
          <w:sz w:val="24"/>
        </w:rPr>
        <w:t> </w:t>
      </w:r>
      <w:r>
        <w:rPr>
          <w:spacing w:val="-17"/>
          <w:sz w:val="24"/>
        </w:rPr>
        <w:t>日前向 </w:t>
      </w:r>
      <w:r>
        <w:rPr>
          <w:rFonts w:ascii="Arial" w:eastAsia="Arial"/>
          <w:sz w:val="24"/>
        </w:rPr>
        <w:t>CNAS</w:t>
      </w:r>
      <w:r>
        <w:rPr>
          <w:rFonts w:ascii="Arial" w:eastAsia="Arial"/>
          <w:spacing w:val="-16"/>
          <w:sz w:val="24"/>
        </w:rPr>
        <w:t> </w:t>
      </w:r>
      <w:r>
        <w:rPr>
          <w:sz w:val="24"/>
        </w:rPr>
        <w:t>交付上一年度的认可年度管</w:t>
      </w:r>
      <w:r>
        <w:rPr>
          <w:spacing w:val="-10"/>
          <w:sz w:val="24"/>
        </w:rPr>
        <w:t>理费</w:t>
      </w:r>
      <w:r>
        <w:rPr>
          <w:sz w:val="24"/>
        </w:rPr>
        <w:t>（年金</w:t>
      </w:r>
      <w:r>
        <w:rPr>
          <w:spacing w:val="-20"/>
          <w:sz w:val="24"/>
        </w:rPr>
        <w:t>）</w:t>
      </w:r>
      <w:r>
        <w:rPr>
          <w:spacing w:val="-8"/>
          <w:sz w:val="24"/>
        </w:rPr>
        <w:t>。如需要，当年的年金可在当年分批交纳，但交纳时间最迟不能超过次</w:t>
      </w:r>
      <w:r>
        <w:rPr>
          <w:spacing w:val="-26"/>
          <w:sz w:val="24"/>
        </w:rPr>
        <w:t>年的 </w:t>
      </w:r>
      <w:r>
        <w:rPr>
          <w:rFonts w:ascii="Arial" w:eastAsia="Arial"/>
          <w:sz w:val="24"/>
        </w:rPr>
        <w:t>3</w:t>
      </w:r>
      <w:r>
        <w:rPr>
          <w:rFonts w:ascii="Arial" w:eastAsia="Arial"/>
          <w:spacing w:val="-6"/>
          <w:sz w:val="24"/>
        </w:rPr>
        <w:t> </w:t>
      </w:r>
      <w:r>
        <w:rPr>
          <w:spacing w:val="-30"/>
          <w:sz w:val="24"/>
        </w:rPr>
        <w:t>月 </w:t>
      </w:r>
      <w:r>
        <w:rPr>
          <w:rFonts w:ascii="Arial" w:eastAsia="Arial"/>
          <w:sz w:val="24"/>
        </w:rPr>
        <w:t>31</w:t>
      </w:r>
      <w:r>
        <w:rPr>
          <w:rFonts w:ascii="Arial" w:eastAsia="Arial"/>
          <w:spacing w:val="-6"/>
          <w:sz w:val="24"/>
        </w:rPr>
        <w:t> </w:t>
      </w:r>
      <w:r>
        <w:rPr>
          <w:sz w:val="24"/>
        </w:rPr>
        <w:t>日。</w:t>
      </w:r>
    </w:p>
    <w:p>
      <w:pPr>
        <w:pStyle w:val="BodyText"/>
        <w:rPr>
          <w:sz w:val="27"/>
        </w:rPr>
      </w:pPr>
    </w:p>
    <w:p>
      <w:pPr>
        <w:pStyle w:val="Heading2"/>
        <w:numPr>
          <w:ilvl w:val="0"/>
          <w:numId w:val="2"/>
        </w:numPr>
        <w:tabs>
          <w:tab w:pos="768" w:val="left" w:leader="none"/>
          <w:tab w:pos="769" w:val="left" w:leader="none"/>
        </w:tabs>
        <w:spacing w:line="240" w:lineRule="auto" w:before="0" w:after="0"/>
        <w:ind w:left="768" w:right="0" w:hanging="468"/>
        <w:jc w:val="left"/>
      </w:pPr>
      <w:bookmarkStart w:name="_bookmark7" w:id="14"/>
      <w:bookmarkEnd w:id="14"/>
      <w:r>
        <w:rPr>
          <w:b w:val="0"/>
        </w:rPr>
      </w:r>
      <w:bookmarkStart w:name="_bookmark7" w:id="15"/>
      <w:bookmarkEnd w:id="15"/>
      <w:r>
        <w:rPr/>
        <w:t>附件及附表</w:t>
      </w:r>
    </w:p>
    <w:p>
      <w:pPr>
        <w:pStyle w:val="BodyText"/>
        <w:spacing w:line="302" w:lineRule="auto" w:before="105"/>
        <w:ind w:left="300" w:right="2116"/>
      </w:pPr>
      <w:r>
        <w:rPr/>
        <w:t>附件 </w:t>
      </w:r>
      <w:r>
        <w:rPr>
          <w:rFonts w:ascii="Arial" w:eastAsia="Arial"/>
        </w:rPr>
        <w:t>1:</w:t>
      </w:r>
      <w:r>
        <w:rPr/>
        <w:t>《认证机构实施管理体系认证的认可评审人日数核算方法》附件 </w:t>
      </w:r>
      <w:r>
        <w:rPr>
          <w:rFonts w:ascii="Arial" w:eastAsia="Arial"/>
        </w:rPr>
        <w:t>2:</w:t>
      </w:r>
      <w:r>
        <w:rPr/>
        <w:t>《认证机构实施产品认证的认可评审人日数核算方法》</w:t>
      </w:r>
    </w:p>
    <w:p>
      <w:pPr>
        <w:pStyle w:val="BodyText"/>
        <w:spacing w:before="3"/>
        <w:ind w:left="300"/>
      </w:pPr>
      <w:r>
        <w:rPr/>
        <w:t>附件 </w:t>
      </w:r>
      <w:r>
        <w:rPr>
          <w:rFonts w:ascii="Arial" w:eastAsia="Arial"/>
        </w:rPr>
        <w:t>3:</w:t>
      </w:r>
      <w:r>
        <w:rPr/>
        <w:t>《人员认证机构的认可评审人日数核算方法》</w:t>
      </w:r>
    </w:p>
    <w:p>
      <w:pPr>
        <w:pStyle w:val="BodyText"/>
        <w:tabs>
          <w:tab w:pos="2083" w:val="left" w:leader="none"/>
        </w:tabs>
        <w:spacing w:line="302" w:lineRule="auto" w:before="83"/>
        <w:ind w:left="300" w:right="2664"/>
      </w:pPr>
      <w:r>
        <w:rPr/>
        <w:t>附件</w:t>
      </w:r>
      <w:r>
        <w:rPr>
          <w:spacing w:val="-61"/>
        </w:rPr>
        <w:t> </w:t>
      </w:r>
      <w:r>
        <w:rPr>
          <w:rFonts w:ascii="Arial" w:eastAsia="Arial"/>
        </w:rPr>
        <w:t>4:</w:t>
      </w:r>
      <w:r>
        <w:rPr/>
        <w:t>《基于其他认</w:t>
      </w:r>
      <w:r>
        <w:rPr>
          <w:spacing w:val="-3"/>
        </w:rPr>
        <w:t>可</w:t>
      </w:r>
      <w:r>
        <w:rPr/>
        <w:t>制度的认证机构评审人日数核算方法</w:t>
      </w:r>
      <w:r>
        <w:rPr>
          <w:spacing w:val="-14"/>
        </w:rPr>
        <w:t>》</w:t>
      </w:r>
      <w:r>
        <w:rPr/>
        <w:t>附表</w:t>
      </w:r>
      <w:r>
        <w:rPr>
          <w:spacing w:val="-61"/>
        </w:rPr>
        <w:t> </w:t>
      </w:r>
      <w:r>
        <w:rPr>
          <w:rFonts w:ascii="Arial" w:eastAsia="Arial"/>
        </w:rPr>
        <w:t>1:</w:t>
      </w:r>
      <w:r>
        <w:rPr/>
        <w:t>《</w:t>
      </w:r>
      <w:r>
        <w:rPr>
          <w:u w:val="single"/>
        </w:rPr>
        <w:t> </w:t>
        <w:tab/>
      </w:r>
      <w:r>
        <w:rPr/>
        <w:t>年</w:t>
      </w:r>
      <w:r>
        <w:rPr>
          <w:spacing w:val="-3"/>
        </w:rPr>
        <w:t>度</w:t>
      </w:r>
      <w:r>
        <w:rPr/>
        <w:t>认可年度管理费交付核算表》</w:t>
      </w:r>
    </w:p>
    <w:p>
      <w:pPr>
        <w:pStyle w:val="BodyText"/>
        <w:spacing w:line="302" w:lineRule="auto" w:before="3"/>
        <w:ind w:left="300" w:right="4516"/>
      </w:pPr>
      <w:r>
        <w:rPr/>
        <w:t>附表 </w:t>
      </w:r>
      <w:r>
        <w:rPr>
          <w:rFonts w:ascii="Arial" w:eastAsia="Arial"/>
        </w:rPr>
        <w:t>2:</w:t>
      </w:r>
      <w:r>
        <w:rPr/>
        <w:t>《产品认证机构认证收入情况表》附表 </w:t>
      </w:r>
      <w:r>
        <w:rPr>
          <w:rFonts w:ascii="Arial" w:eastAsia="Arial"/>
        </w:rPr>
        <w:t>3:</w:t>
      </w:r>
      <w:r>
        <w:rPr/>
        <w:t>《人员认证机构注册费收入情况表》</w:t>
      </w:r>
    </w:p>
    <w:p>
      <w:pPr>
        <w:spacing w:after="0" w:line="302" w:lineRule="auto"/>
        <w:sectPr>
          <w:pgSz w:w="11910" w:h="16850"/>
          <w:pgMar w:header="876" w:footer="985" w:top="1340" w:bottom="1180" w:left="1260" w:right="1180"/>
        </w:sectPr>
      </w:pPr>
    </w:p>
    <w:p>
      <w:pPr>
        <w:pStyle w:val="Heading2"/>
        <w:spacing w:before="62"/>
        <w:ind w:left="300" w:firstLine="0"/>
      </w:pPr>
      <w:r>
        <w:rPr/>
        <w:t>附件 </w:t>
      </w:r>
      <w:r>
        <w:rPr>
          <w:rFonts w:ascii="Arial" w:eastAsia="Arial"/>
        </w:rPr>
        <w:t>1</w:t>
      </w:r>
      <w:r>
        <w:rPr/>
        <w:t>：</w:t>
      </w:r>
    </w:p>
    <w:p>
      <w:pPr>
        <w:spacing w:before="101"/>
        <w:ind w:left="1061" w:right="1139" w:firstLine="0"/>
        <w:jc w:val="center"/>
        <w:rPr>
          <w:rFonts w:ascii="黑体" w:eastAsia="黑体" w:hint="eastAsia"/>
          <w:b/>
          <w:sz w:val="30"/>
        </w:rPr>
      </w:pPr>
      <w:bookmarkStart w:name="_bookmark8" w:id="16"/>
      <w:bookmarkEnd w:id="16"/>
      <w:r>
        <w:rPr/>
      </w:r>
      <w:r>
        <w:rPr>
          <w:rFonts w:ascii="黑体" w:eastAsia="黑体" w:hint="eastAsia"/>
          <w:b/>
          <w:sz w:val="30"/>
        </w:rPr>
        <w:t>认证机构实施管理体系认证的认可评审人日数核算方法</w:t>
      </w:r>
    </w:p>
    <w:p>
      <w:pPr>
        <w:pStyle w:val="BodyText"/>
        <w:spacing w:before="12"/>
        <w:rPr>
          <w:rFonts w:ascii="黑体"/>
          <w:b/>
          <w:sz w:val="43"/>
        </w:rPr>
      </w:pPr>
    </w:p>
    <w:p>
      <w:pPr>
        <w:pStyle w:val="ListParagraph"/>
        <w:numPr>
          <w:ilvl w:val="0"/>
          <w:numId w:val="4"/>
        </w:numPr>
        <w:tabs>
          <w:tab w:pos="768" w:val="left" w:leader="none"/>
          <w:tab w:pos="769" w:val="left" w:leader="none"/>
        </w:tabs>
        <w:spacing w:line="240" w:lineRule="auto" w:before="0" w:after="0"/>
        <w:ind w:left="768" w:right="0" w:hanging="468"/>
        <w:jc w:val="left"/>
        <w:rPr>
          <w:rFonts w:ascii="黑体" w:eastAsia="黑体" w:hint="eastAsia"/>
          <w:b/>
          <w:sz w:val="30"/>
        </w:rPr>
      </w:pPr>
      <w:r>
        <w:rPr>
          <w:rFonts w:ascii="黑体" w:eastAsia="黑体" w:hint="eastAsia"/>
          <w:b/>
          <w:sz w:val="30"/>
        </w:rPr>
        <w:t>文件审查</w:t>
      </w:r>
    </w:p>
    <w:p>
      <w:pPr>
        <w:pStyle w:val="Heading3"/>
        <w:numPr>
          <w:ilvl w:val="1"/>
          <w:numId w:val="4"/>
        </w:numPr>
        <w:tabs>
          <w:tab w:pos="759" w:val="left" w:leader="none"/>
        </w:tabs>
        <w:spacing w:line="240" w:lineRule="auto" w:before="104" w:after="0"/>
        <w:ind w:left="758" w:right="0" w:hanging="458"/>
        <w:jc w:val="left"/>
      </w:pPr>
      <w:r>
        <w:rPr/>
        <w:t>初评</w:t>
      </w:r>
    </w:p>
    <w:p>
      <w:pPr>
        <w:pStyle w:val="ListParagraph"/>
        <w:numPr>
          <w:ilvl w:val="2"/>
          <w:numId w:val="4"/>
        </w:numPr>
        <w:tabs>
          <w:tab w:pos="994" w:val="left" w:leader="none"/>
        </w:tabs>
        <w:spacing w:line="240" w:lineRule="auto" w:before="97" w:after="0"/>
        <w:ind w:left="994" w:right="0" w:hanging="694"/>
        <w:jc w:val="left"/>
        <w:rPr>
          <w:rFonts w:ascii="黑体" w:eastAsia="黑体" w:hint="eastAsia"/>
          <w:b/>
          <w:sz w:val="28"/>
        </w:rPr>
      </w:pPr>
      <w:r>
        <w:rPr>
          <w:rFonts w:ascii="黑体" w:eastAsia="黑体" w:hint="eastAsia"/>
          <w:b/>
          <w:sz w:val="28"/>
        </w:rPr>
        <w:t>单一场所认证机构</w:t>
      </w:r>
    </w:p>
    <w:p>
      <w:pPr>
        <w:pStyle w:val="Heading4"/>
        <w:numPr>
          <w:ilvl w:val="3"/>
          <w:numId w:val="4"/>
        </w:numPr>
        <w:tabs>
          <w:tab w:pos="1297" w:val="left" w:leader="none"/>
        </w:tabs>
        <w:spacing w:line="240" w:lineRule="auto" w:before="95" w:after="0"/>
        <w:ind w:left="1296" w:right="0" w:hanging="996"/>
        <w:jc w:val="left"/>
      </w:pPr>
      <w:r>
        <w:rPr/>
        <w:t>单领域</w:t>
      </w:r>
    </w:p>
    <w:p>
      <w:pPr>
        <w:pStyle w:val="BodyText"/>
        <w:spacing w:line="302" w:lineRule="auto" w:before="97"/>
        <w:ind w:left="300" w:right="374" w:firstLine="479"/>
        <w:jc w:val="both"/>
      </w:pPr>
      <w:r>
        <w:rPr>
          <w:spacing w:val="-5"/>
        </w:rPr>
        <w:t>初评时的文件审查一般为 </w:t>
      </w:r>
      <w:r>
        <w:rPr>
          <w:rFonts w:ascii="Arial" w:eastAsia="Arial"/>
        </w:rPr>
        <w:t>2</w:t>
      </w:r>
      <w:r>
        <w:rPr/>
        <w:t>～</w:t>
      </w:r>
      <w:r>
        <w:rPr>
          <w:rFonts w:ascii="Arial" w:eastAsia="Arial"/>
        </w:rPr>
        <w:t>3 </w:t>
      </w:r>
      <w:r>
        <w:rPr>
          <w:spacing w:val="-1"/>
        </w:rPr>
        <w:t>个人日，对于规模较大、组织结构较复杂的认证</w:t>
      </w:r>
      <w:r>
        <w:rPr>
          <w:spacing w:val="-5"/>
        </w:rPr>
        <w:t>机构初次文件审查将增加 </w:t>
      </w:r>
      <w:r>
        <w:rPr>
          <w:rFonts w:ascii="Arial" w:eastAsia="Arial"/>
        </w:rPr>
        <w:t>1</w:t>
      </w:r>
      <w:r>
        <w:rPr/>
        <w:t>～</w:t>
      </w:r>
      <w:r>
        <w:rPr>
          <w:rFonts w:ascii="Arial" w:eastAsia="Arial"/>
        </w:rPr>
        <w:t>2 </w:t>
      </w:r>
      <w:r>
        <w:rPr/>
        <w:t>个人日。</w:t>
      </w:r>
    </w:p>
    <w:p>
      <w:pPr>
        <w:pStyle w:val="Heading4"/>
        <w:numPr>
          <w:ilvl w:val="3"/>
          <w:numId w:val="4"/>
        </w:numPr>
        <w:tabs>
          <w:tab w:pos="1297" w:val="left" w:leader="none"/>
        </w:tabs>
        <w:spacing w:line="240" w:lineRule="auto" w:before="1" w:after="0"/>
        <w:ind w:left="1296" w:right="0" w:hanging="996"/>
        <w:jc w:val="left"/>
      </w:pPr>
      <w:r>
        <w:rPr/>
        <w:t>多领域</w:t>
      </w:r>
    </w:p>
    <w:p>
      <w:pPr>
        <w:pStyle w:val="ListParagraph"/>
        <w:numPr>
          <w:ilvl w:val="4"/>
          <w:numId w:val="4"/>
        </w:numPr>
        <w:tabs>
          <w:tab w:pos="1117" w:val="left" w:leader="none"/>
        </w:tabs>
        <w:spacing w:line="302" w:lineRule="auto" w:before="97" w:after="0"/>
        <w:ind w:left="300" w:right="373" w:firstLine="480"/>
        <w:jc w:val="both"/>
        <w:rPr>
          <w:sz w:val="24"/>
        </w:rPr>
      </w:pPr>
      <w:r>
        <w:rPr>
          <w:sz w:val="24"/>
        </w:rPr>
        <w:t>对于认证机构已经将多个领域的认可规范要求整合为一套管理体系的结合评</w:t>
      </w:r>
      <w:r>
        <w:rPr>
          <w:spacing w:val="-6"/>
          <w:sz w:val="24"/>
        </w:rPr>
        <w:t>审。初评时的结合文件审查一般为 </w:t>
      </w:r>
      <w:r>
        <w:rPr>
          <w:rFonts w:ascii="Arial" w:eastAsia="Arial"/>
          <w:sz w:val="24"/>
        </w:rPr>
        <w:t>3</w:t>
      </w:r>
      <w:r>
        <w:rPr>
          <w:sz w:val="24"/>
        </w:rPr>
        <w:t>～</w:t>
      </w:r>
      <w:r>
        <w:rPr>
          <w:rFonts w:ascii="Arial" w:eastAsia="Arial"/>
          <w:sz w:val="24"/>
        </w:rPr>
        <w:t>4</w:t>
      </w:r>
      <w:r>
        <w:rPr>
          <w:rFonts w:ascii="Arial" w:eastAsia="Arial"/>
          <w:spacing w:val="-6"/>
          <w:sz w:val="24"/>
        </w:rPr>
        <w:t> </w:t>
      </w:r>
      <w:r>
        <w:rPr>
          <w:spacing w:val="-12"/>
          <w:sz w:val="24"/>
        </w:rPr>
        <w:t>个人日。超过 </w:t>
      </w:r>
      <w:r>
        <w:rPr>
          <w:rFonts w:ascii="Arial" w:eastAsia="Arial"/>
          <w:sz w:val="24"/>
        </w:rPr>
        <w:t>5</w:t>
      </w:r>
      <w:r>
        <w:rPr>
          <w:rFonts w:ascii="Arial" w:eastAsia="Arial"/>
          <w:spacing w:val="-6"/>
          <w:sz w:val="24"/>
        </w:rPr>
        <w:t> </w:t>
      </w:r>
      <w:r>
        <w:rPr>
          <w:spacing w:val="-2"/>
          <w:sz w:val="24"/>
        </w:rPr>
        <w:t>个领域的整合将根据各领域</w:t>
      </w:r>
      <w:r>
        <w:rPr>
          <w:sz w:val="24"/>
        </w:rPr>
        <w:t>认可所依据认可规范文件之间的差异程度适当增加。</w:t>
      </w:r>
    </w:p>
    <w:p>
      <w:pPr>
        <w:pStyle w:val="ListParagraph"/>
        <w:numPr>
          <w:ilvl w:val="4"/>
          <w:numId w:val="4"/>
        </w:numPr>
        <w:tabs>
          <w:tab w:pos="1117" w:val="left" w:leader="none"/>
        </w:tabs>
        <w:spacing w:line="304" w:lineRule="auto" w:before="4" w:after="0"/>
        <w:ind w:left="300" w:right="373" w:firstLine="480"/>
        <w:jc w:val="both"/>
        <w:rPr>
          <w:sz w:val="24"/>
        </w:rPr>
      </w:pPr>
      <w:r>
        <w:rPr>
          <w:spacing w:val="-1"/>
          <w:sz w:val="24"/>
        </w:rPr>
        <w:t>对于认证机构多个领域多套管理体系的结合评审。各领域文件审查的收费分</w:t>
      </w:r>
      <w:r>
        <w:rPr>
          <w:spacing w:val="-7"/>
          <w:sz w:val="24"/>
        </w:rPr>
        <w:t>别按照本附件条款 </w:t>
      </w:r>
      <w:r>
        <w:rPr>
          <w:rFonts w:ascii="Arial" w:eastAsia="Arial"/>
          <w:sz w:val="24"/>
        </w:rPr>
        <w:t>1.1.1.1</w:t>
      </w:r>
      <w:r>
        <w:rPr>
          <w:rFonts w:ascii="Arial" w:eastAsia="Arial"/>
          <w:spacing w:val="-5"/>
          <w:sz w:val="24"/>
        </w:rPr>
        <w:t> </w:t>
      </w:r>
      <w:r>
        <w:rPr>
          <w:sz w:val="24"/>
        </w:rPr>
        <w:t>执行。</w:t>
      </w:r>
    </w:p>
    <w:p>
      <w:pPr>
        <w:pStyle w:val="Heading3"/>
        <w:numPr>
          <w:ilvl w:val="2"/>
          <w:numId w:val="5"/>
        </w:numPr>
        <w:tabs>
          <w:tab w:pos="994" w:val="left" w:leader="none"/>
        </w:tabs>
        <w:spacing w:line="356" w:lineRule="exact" w:before="0" w:after="0"/>
        <w:ind w:left="994" w:right="0" w:hanging="694"/>
        <w:jc w:val="left"/>
      </w:pPr>
      <w:r>
        <w:rPr/>
        <w:t>多场所认证机构</w:t>
      </w:r>
    </w:p>
    <w:p>
      <w:pPr>
        <w:pStyle w:val="Heading4"/>
        <w:numPr>
          <w:ilvl w:val="3"/>
          <w:numId w:val="5"/>
        </w:numPr>
        <w:tabs>
          <w:tab w:pos="1227" w:val="left" w:leader="none"/>
        </w:tabs>
        <w:spacing w:line="240" w:lineRule="auto" w:before="95" w:after="0"/>
        <w:ind w:left="1226" w:right="0" w:hanging="926"/>
        <w:jc w:val="left"/>
      </w:pPr>
      <w:r>
        <w:rPr/>
        <w:t>总部</w:t>
      </w:r>
    </w:p>
    <w:p>
      <w:pPr>
        <w:pStyle w:val="BodyText"/>
        <w:spacing w:before="96"/>
        <w:ind w:left="780"/>
      </w:pPr>
      <w:r>
        <w:rPr/>
        <w:t>对总部统一的管理体系文件的文件审查，根据所具有领域的多少按照本附件</w:t>
      </w:r>
    </w:p>
    <w:p>
      <w:pPr>
        <w:pStyle w:val="BodyText"/>
        <w:spacing w:before="82"/>
        <w:ind w:left="300"/>
      </w:pPr>
      <w:r>
        <w:rPr>
          <w:rFonts w:ascii="Arial" w:eastAsia="Arial"/>
        </w:rPr>
        <w:t>1.1.1.1 </w:t>
      </w:r>
      <w:r>
        <w:rPr/>
        <w:t>或 </w:t>
      </w:r>
      <w:r>
        <w:rPr>
          <w:rFonts w:ascii="Arial" w:eastAsia="Arial"/>
        </w:rPr>
        <w:t>1.1.1.2 </w:t>
      </w:r>
      <w:r>
        <w:rPr/>
        <w:t>计算。</w:t>
      </w:r>
    </w:p>
    <w:p>
      <w:pPr>
        <w:pStyle w:val="Heading4"/>
        <w:numPr>
          <w:ilvl w:val="3"/>
          <w:numId w:val="5"/>
        </w:numPr>
        <w:tabs>
          <w:tab w:pos="1297" w:val="left" w:leader="none"/>
        </w:tabs>
        <w:spacing w:line="240" w:lineRule="auto" w:before="79" w:after="0"/>
        <w:ind w:left="1296" w:right="0" w:hanging="996"/>
        <w:jc w:val="left"/>
      </w:pPr>
      <w:r>
        <w:rPr/>
        <w:t>关键场所</w:t>
      </w:r>
    </w:p>
    <w:p>
      <w:pPr>
        <w:pStyle w:val="BodyText"/>
        <w:spacing w:line="302" w:lineRule="auto" w:before="97"/>
        <w:ind w:left="300" w:right="373" w:firstLine="479"/>
        <w:jc w:val="both"/>
      </w:pPr>
      <w:r>
        <w:rPr>
          <w:spacing w:val="-5"/>
        </w:rPr>
        <w:t>在总部统一的管理体系文件之下，关键场所还拥有其适用的管理体系文件</w:t>
      </w:r>
      <w:r>
        <w:rPr/>
        <w:t>（</w:t>
      </w:r>
      <w:r>
        <w:rPr>
          <w:spacing w:val="-8"/>
        </w:rPr>
        <w:t>包括</w:t>
      </w:r>
      <w:r>
        <w:rPr/>
        <w:t>手册和程序）</w:t>
      </w:r>
      <w:r>
        <w:rPr>
          <w:spacing w:val="-4"/>
        </w:rPr>
        <w:t>。单领域初评时对该文件的文件审查一般为 </w:t>
      </w:r>
      <w:r>
        <w:rPr>
          <w:rFonts w:ascii="Arial" w:eastAsia="Arial"/>
        </w:rPr>
        <w:t>1</w:t>
      </w:r>
      <w:r>
        <w:rPr/>
        <w:t>～</w:t>
      </w:r>
      <w:r>
        <w:rPr>
          <w:rFonts w:ascii="Arial" w:eastAsia="Arial"/>
        </w:rPr>
        <w:t>2 </w:t>
      </w:r>
      <w:r>
        <w:rPr>
          <w:spacing w:val="-2"/>
        </w:rPr>
        <w:t>个人日，涉及多领域</w:t>
      </w:r>
      <w:r>
        <w:rPr/>
        <w:t>时，根据情况适当增加。</w:t>
      </w:r>
    </w:p>
    <w:p>
      <w:pPr>
        <w:pStyle w:val="Heading3"/>
        <w:numPr>
          <w:ilvl w:val="1"/>
          <w:numId w:val="6"/>
        </w:numPr>
        <w:tabs>
          <w:tab w:pos="759" w:val="left" w:leader="none"/>
        </w:tabs>
        <w:spacing w:line="240" w:lineRule="auto" w:before="5" w:after="0"/>
        <w:ind w:left="758" w:right="0" w:hanging="458"/>
        <w:jc w:val="left"/>
        <w:rPr>
          <w:rFonts w:ascii="Arial" w:eastAsia="Arial"/>
        </w:rPr>
      </w:pPr>
      <w:r>
        <w:rPr/>
        <w:t>文件更改或换版</w:t>
      </w:r>
    </w:p>
    <w:p>
      <w:pPr>
        <w:pStyle w:val="BodyText"/>
        <w:spacing w:line="302" w:lineRule="auto" w:before="97"/>
        <w:ind w:left="300" w:right="373" w:firstLine="479"/>
        <w:jc w:val="both"/>
      </w:pPr>
      <w:r>
        <w:rPr>
          <w:spacing w:val="-3"/>
        </w:rPr>
        <w:t>总部文件更改或换版的文件审查根据修改内容的多少按 </w:t>
      </w:r>
      <w:r>
        <w:rPr>
          <w:rFonts w:ascii="Arial" w:eastAsia="Arial"/>
        </w:rPr>
        <w:t>1</w:t>
      </w:r>
      <w:r>
        <w:rPr/>
        <w:t>～</w:t>
      </w:r>
      <w:r>
        <w:rPr>
          <w:rFonts w:ascii="Arial" w:eastAsia="Arial"/>
        </w:rPr>
        <w:t>4 </w:t>
      </w:r>
      <w:r>
        <w:rPr>
          <w:spacing w:val="-2"/>
        </w:rPr>
        <w:t>个人日计算。关键</w:t>
      </w:r>
      <w:r>
        <w:rPr>
          <w:spacing w:val="-3"/>
        </w:rPr>
        <w:t>场所文件更改或换版的文件审查根据修改内容的多少按 </w:t>
      </w:r>
      <w:r>
        <w:rPr>
          <w:rFonts w:ascii="Arial" w:eastAsia="Arial"/>
        </w:rPr>
        <w:t>1</w:t>
      </w:r>
      <w:r>
        <w:rPr/>
        <w:t>～</w:t>
      </w:r>
      <w:r>
        <w:rPr>
          <w:rFonts w:ascii="Arial" w:eastAsia="Arial"/>
        </w:rPr>
        <w:t>2 </w:t>
      </w:r>
      <w:r>
        <w:rPr/>
        <w:t>个人日计算。</w:t>
      </w:r>
    </w:p>
    <w:p>
      <w:pPr>
        <w:pStyle w:val="Heading3"/>
        <w:numPr>
          <w:ilvl w:val="1"/>
          <w:numId w:val="6"/>
        </w:numPr>
        <w:tabs>
          <w:tab w:pos="831" w:val="left" w:leader="none"/>
        </w:tabs>
        <w:spacing w:line="240" w:lineRule="auto" w:before="1" w:after="0"/>
        <w:ind w:left="830" w:right="0" w:hanging="530"/>
        <w:jc w:val="left"/>
        <w:rPr>
          <w:rFonts w:ascii="Arial" w:eastAsia="Arial"/>
        </w:rPr>
      </w:pPr>
      <w:r>
        <w:rPr/>
        <w:t>监督和复评</w:t>
      </w:r>
    </w:p>
    <w:p>
      <w:pPr>
        <w:pStyle w:val="ListParagraph"/>
        <w:numPr>
          <w:ilvl w:val="2"/>
          <w:numId w:val="6"/>
        </w:numPr>
        <w:tabs>
          <w:tab w:pos="956" w:val="left" w:leader="none"/>
        </w:tabs>
        <w:spacing w:line="240" w:lineRule="auto" w:before="96" w:after="0"/>
        <w:ind w:left="955" w:right="0" w:hanging="655"/>
        <w:jc w:val="left"/>
        <w:rPr>
          <w:sz w:val="24"/>
        </w:rPr>
      </w:pPr>
      <w:r>
        <w:rPr>
          <w:spacing w:val="-6"/>
          <w:sz w:val="24"/>
        </w:rPr>
        <w:t>监督时，文件审查按本附件 </w:t>
      </w:r>
      <w:r>
        <w:rPr>
          <w:rFonts w:ascii="Arial" w:eastAsia="Arial"/>
          <w:sz w:val="24"/>
        </w:rPr>
        <w:t>1.2</w:t>
      </w:r>
      <w:r>
        <w:rPr>
          <w:rFonts w:ascii="Arial" w:eastAsia="Arial"/>
          <w:spacing w:val="-5"/>
          <w:sz w:val="24"/>
        </w:rPr>
        <w:t> </w:t>
      </w:r>
      <w:r>
        <w:rPr>
          <w:spacing w:val="-1"/>
          <w:sz w:val="24"/>
        </w:rPr>
        <w:t>文件更改或文件换版的人日数计算；</w:t>
      </w:r>
    </w:p>
    <w:p>
      <w:pPr>
        <w:pStyle w:val="ListParagraph"/>
        <w:numPr>
          <w:ilvl w:val="2"/>
          <w:numId w:val="6"/>
        </w:numPr>
        <w:tabs>
          <w:tab w:pos="956" w:val="left" w:leader="none"/>
        </w:tabs>
        <w:spacing w:line="240" w:lineRule="auto" w:before="82" w:after="0"/>
        <w:ind w:left="955" w:right="0" w:hanging="655"/>
        <w:jc w:val="left"/>
        <w:rPr>
          <w:sz w:val="24"/>
        </w:rPr>
      </w:pPr>
      <w:r>
        <w:rPr>
          <w:spacing w:val="-6"/>
          <w:sz w:val="24"/>
        </w:rPr>
        <w:t>复评时，文件审查参照本附件 </w:t>
      </w:r>
      <w:r>
        <w:rPr>
          <w:rFonts w:ascii="Arial" w:eastAsia="Arial"/>
          <w:sz w:val="24"/>
        </w:rPr>
        <w:t>1.1</w:t>
      </w:r>
      <w:r>
        <w:rPr>
          <w:rFonts w:ascii="Arial" w:eastAsia="Arial"/>
          <w:spacing w:val="-5"/>
          <w:sz w:val="24"/>
        </w:rPr>
        <w:t> </w:t>
      </w:r>
      <w:r>
        <w:rPr>
          <w:sz w:val="24"/>
        </w:rPr>
        <w:t>初评的文件审查人日数计算。</w:t>
      </w:r>
    </w:p>
    <w:p>
      <w:pPr>
        <w:pStyle w:val="Heading3"/>
        <w:spacing w:before="79"/>
        <w:ind w:left="300" w:firstLine="0"/>
      </w:pPr>
      <w:r>
        <w:rPr>
          <w:rFonts w:ascii="Arial" w:eastAsia="Arial"/>
        </w:rPr>
        <w:t>1.4 </w:t>
      </w:r>
      <w:r>
        <w:rPr/>
        <w:t>扩大认可范围</w:t>
      </w:r>
    </w:p>
    <w:p>
      <w:pPr>
        <w:pStyle w:val="BodyText"/>
        <w:spacing w:before="97"/>
        <w:ind w:left="780"/>
      </w:pPr>
      <w:r>
        <w:rPr/>
        <w:t>扩大业务范围的文件审查，一般按每个领域每个业务范围 </w:t>
      </w:r>
      <w:r>
        <w:rPr>
          <w:rFonts w:ascii="Arial" w:eastAsia="Arial"/>
        </w:rPr>
        <w:t>1 </w:t>
      </w:r>
      <w:r>
        <w:rPr/>
        <w:t>个人日计算。</w:t>
      </w:r>
    </w:p>
    <w:p>
      <w:pPr>
        <w:pStyle w:val="Heading2"/>
        <w:numPr>
          <w:ilvl w:val="0"/>
          <w:numId w:val="6"/>
        </w:numPr>
        <w:tabs>
          <w:tab w:pos="768" w:val="left" w:leader="none"/>
          <w:tab w:pos="769" w:val="left" w:leader="none"/>
        </w:tabs>
        <w:spacing w:line="240" w:lineRule="auto" w:before="79" w:after="0"/>
        <w:ind w:left="768" w:right="0" w:hanging="468"/>
        <w:jc w:val="left"/>
        <w:rPr>
          <w:rFonts w:ascii="Arial" w:eastAsia="Arial"/>
        </w:rPr>
      </w:pPr>
      <w:r>
        <w:rPr/>
        <w:t>现场评审</w:t>
      </w:r>
    </w:p>
    <w:p>
      <w:pPr>
        <w:pStyle w:val="ListParagraph"/>
        <w:numPr>
          <w:ilvl w:val="1"/>
          <w:numId w:val="7"/>
        </w:numPr>
        <w:tabs>
          <w:tab w:pos="793" w:val="left" w:leader="none"/>
        </w:tabs>
        <w:spacing w:line="240" w:lineRule="auto" w:before="100" w:after="0"/>
        <w:ind w:left="792" w:right="0" w:hanging="492"/>
        <w:jc w:val="left"/>
        <w:rPr>
          <w:rFonts w:ascii="黑体" w:eastAsia="黑体" w:hint="eastAsia"/>
          <w:b/>
          <w:sz w:val="30"/>
        </w:rPr>
      </w:pPr>
      <w:r>
        <w:rPr>
          <w:rFonts w:ascii="黑体" w:eastAsia="黑体" w:hint="eastAsia"/>
          <w:b/>
          <w:sz w:val="30"/>
        </w:rPr>
        <w:t>单一场所认证机构</w:t>
      </w:r>
    </w:p>
    <w:p>
      <w:pPr>
        <w:spacing w:after="0" w:line="240" w:lineRule="auto"/>
        <w:jc w:val="left"/>
        <w:rPr>
          <w:rFonts w:ascii="黑体" w:eastAsia="黑体" w:hint="eastAsia"/>
          <w:sz w:val="30"/>
        </w:rPr>
        <w:sectPr>
          <w:pgSz w:w="11910" w:h="16850"/>
          <w:pgMar w:header="876" w:footer="985" w:top="1340" w:bottom="1180" w:left="1260" w:right="1180"/>
        </w:sectPr>
      </w:pPr>
    </w:p>
    <w:p>
      <w:pPr>
        <w:pStyle w:val="ListParagraph"/>
        <w:numPr>
          <w:ilvl w:val="2"/>
          <w:numId w:val="7"/>
        </w:numPr>
        <w:tabs>
          <w:tab w:pos="1042" w:val="left" w:leader="none"/>
        </w:tabs>
        <w:spacing w:line="240" w:lineRule="auto" w:before="62" w:after="0"/>
        <w:ind w:left="1042" w:right="0" w:hanging="742"/>
        <w:jc w:val="left"/>
        <w:rPr>
          <w:rFonts w:ascii="黑体" w:eastAsia="黑体" w:hint="eastAsia"/>
          <w:b/>
          <w:sz w:val="30"/>
        </w:rPr>
      </w:pPr>
      <w:r>
        <w:rPr>
          <w:rFonts w:ascii="黑体" w:eastAsia="黑体" w:hint="eastAsia"/>
          <w:b/>
          <w:sz w:val="30"/>
        </w:rPr>
        <w:t>单领域</w:t>
      </w:r>
    </w:p>
    <w:p>
      <w:pPr>
        <w:pStyle w:val="BodyText"/>
        <w:spacing w:line="304" w:lineRule="auto" w:before="105"/>
        <w:ind w:left="300" w:right="371" w:firstLine="479"/>
        <w:jc w:val="both"/>
      </w:pPr>
      <w:r>
        <w:rPr/>
        <w:t>初评时的单领域现场评审包括对认证机构的管理体系评审（</w:t>
      </w:r>
      <w:r>
        <w:rPr>
          <w:spacing w:val="2"/>
        </w:rPr>
        <w:t>即条款 </w:t>
      </w:r>
      <w:r>
        <w:rPr>
          <w:rFonts w:ascii="Arial" w:eastAsia="Arial"/>
        </w:rPr>
        <w:t>2.1.1.1</w:t>
      </w:r>
      <w:r>
        <w:rPr/>
        <w:t>）</w:t>
      </w:r>
      <w:r>
        <w:rPr>
          <w:spacing w:val="-14"/>
        </w:rPr>
        <w:t>和</w:t>
      </w:r>
      <w:r>
        <w:rPr/>
        <w:t>认证业务范围能力评审（</w:t>
      </w:r>
      <w:r>
        <w:rPr>
          <w:spacing w:val="1"/>
        </w:rPr>
        <w:t>即条款 </w:t>
      </w:r>
      <w:r>
        <w:rPr>
          <w:rFonts w:ascii="Arial" w:eastAsia="Arial"/>
        </w:rPr>
        <w:t>2.1.1.2</w:t>
      </w:r>
      <w:r>
        <w:rPr/>
        <w:t>）</w:t>
      </w:r>
      <w:r>
        <w:rPr>
          <w:spacing w:val="-2"/>
        </w:rPr>
        <w:t>两部分。现场评审的总人日数为管理体系评审（</w:t>
      </w:r>
      <w:r>
        <w:rPr>
          <w:spacing w:val="-32"/>
        </w:rPr>
        <w:t>表 </w:t>
      </w:r>
      <w:r>
        <w:rPr>
          <w:rFonts w:ascii="Arial" w:eastAsia="Arial"/>
        </w:rPr>
        <w:t>1</w:t>
      </w:r>
      <w:r>
        <w:rPr/>
        <w:t>）和认证业务范围能力评审（</w:t>
      </w:r>
      <w:r>
        <w:rPr>
          <w:spacing w:val="-30"/>
        </w:rPr>
        <w:t>表 </w:t>
      </w:r>
      <w:r>
        <w:rPr>
          <w:rFonts w:ascii="Arial" w:eastAsia="Arial"/>
        </w:rPr>
        <w:t>2</w:t>
      </w:r>
      <w:r>
        <w:rPr/>
        <w:t>）</w:t>
      </w:r>
      <w:r>
        <w:rPr>
          <w:spacing w:val="-1"/>
        </w:rPr>
        <w:t>两部分之和。在此基础上，考虑机构</w:t>
      </w:r>
      <w:r>
        <w:rPr>
          <w:spacing w:val="-4"/>
        </w:rPr>
        <w:t>的具体情况</w:t>
      </w:r>
      <w:r>
        <w:rPr/>
        <w:t>（</w:t>
      </w:r>
      <w:r>
        <w:rPr>
          <w:spacing w:val="-7"/>
        </w:rPr>
        <w:t>如职能繁简、管理体系的成熟度、颁证数量、业务范围复杂情况、语言等</w:t>
      </w:r>
      <w:r>
        <w:rPr>
          <w:spacing w:val="-120"/>
        </w:rPr>
        <w:t>）</w:t>
      </w:r>
      <w:r>
        <w:rPr/>
        <w:t>，可适当调整人日数。</w:t>
      </w:r>
    </w:p>
    <w:p>
      <w:pPr>
        <w:pStyle w:val="BodyText"/>
        <w:spacing w:line="302" w:lineRule="auto"/>
        <w:ind w:left="300" w:right="368" w:firstLine="479"/>
        <w:jc w:val="both"/>
      </w:pPr>
      <w:r>
        <w:rPr/>
        <w:t>监督</w:t>
      </w:r>
      <w:r>
        <w:rPr>
          <w:rFonts w:ascii="Arial" w:eastAsia="Arial"/>
        </w:rPr>
        <w:t>/</w:t>
      </w:r>
      <w:r>
        <w:rPr/>
        <w:t>复评时的单领域现场评审包括对认证机构的管理体系评审和认证业务范围能力确认</w:t>
      </w:r>
      <w:r>
        <w:rPr>
          <w:rFonts w:ascii="Arial" w:eastAsia="Arial"/>
        </w:rPr>
        <w:t>(</w:t>
      </w:r>
      <w:r>
        <w:rPr>
          <w:spacing w:val="-16"/>
        </w:rPr>
        <w:t>即条款 </w:t>
      </w:r>
      <w:r>
        <w:rPr>
          <w:rFonts w:ascii="Arial" w:eastAsia="Arial"/>
        </w:rPr>
        <w:t>2.1.1.3)</w:t>
      </w:r>
      <w:r>
        <w:rPr>
          <w:spacing w:val="-4"/>
        </w:rPr>
        <w:t>两部分。现场评审的总人日数为管理体系评审</w:t>
      </w:r>
      <w:r>
        <w:rPr/>
        <w:t>（</w:t>
      </w:r>
      <w:r>
        <w:rPr>
          <w:spacing w:val="-30"/>
        </w:rPr>
        <w:t>表 </w:t>
      </w:r>
      <w:r>
        <w:rPr>
          <w:rFonts w:ascii="Arial" w:eastAsia="Arial"/>
          <w:spacing w:val="-6"/>
        </w:rPr>
        <w:t>1</w:t>
      </w:r>
      <w:r>
        <w:rPr>
          <w:spacing w:val="-6"/>
        </w:rPr>
        <w:t>）和认</w:t>
      </w:r>
      <w:r>
        <w:rPr>
          <w:spacing w:val="-2"/>
        </w:rPr>
        <w:t>证业务范围能力确认</w:t>
      </w:r>
      <w:r>
        <w:rPr/>
        <w:t>（</w:t>
      </w:r>
      <w:r>
        <w:rPr>
          <w:spacing w:val="-31"/>
        </w:rPr>
        <w:t>表 </w:t>
      </w:r>
      <w:r>
        <w:rPr>
          <w:rFonts w:ascii="Arial" w:eastAsia="Arial"/>
          <w:spacing w:val="-5"/>
        </w:rPr>
        <w:t>3</w:t>
      </w:r>
      <w:r>
        <w:rPr>
          <w:spacing w:val="-5"/>
        </w:rPr>
        <w:t>）</w:t>
      </w:r>
      <w:r>
        <w:rPr>
          <w:spacing w:val="-4"/>
        </w:rPr>
        <w:t>两部分之和。在此基础上，考虑机构的具体情况</w:t>
      </w:r>
      <w:r>
        <w:rPr/>
        <w:t>（如职能的繁简、管理体系的成熟度、颁证数量、业务范围复杂情况、语言等</w:t>
      </w:r>
      <w:r>
        <w:rPr>
          <w:spacing w:val="-120"/>
        </w:rPr>
        <w:t>）</w:t>
      </w:r>
      <w:r>
        <w:rPr/>
        <w:t>，可适当调整人日数。</w:t>
      </w:r>
    </w:p>
    <w:p>
      <w:pPr>
        <w:pStyle w:val="Heading4"/>
        <w:numPr>
          <w:ilvl w:val="3"/>
          <w:numId w:val="7"/>
        </w:numPr>
        <w:tabs>
          <w:tab w:pos="1435" w:val="left" w:leader="none"/>
          <w:tab w:pos="1436" w:val="left" w:leader="none"/>
        </w:tabs>
        <w:spacing w:line="240" w:lineRule="auto" w:before="2" w:after="0"/>
        <w:ind w:left="1435" w:right="0" w:hanging="1135"/>
        <w:jc w:val="left"/>
      </w:pPr>
      <w:r>
        <w:rPr>
          <w:spacing w:val="-1"/>
        </w:rPr>
        <w:t>管理体系评审</w:t>
      </w:r>
    </w:p>
    <w:p>
      <w:pPr>
        <w:pStyle w:val="BodyText"/>
        <w:spacing w:before="97"/>
        <w:ind w:left="300"/>
      </w:pPr>
      <w:r>
        <w:rPr/>
        <w:pict>
          <v:line style="position:absolute;mso-position-horizontal-relative:page;mso-position-vertical-relative:paragraph;z-index:-47488" from="134.779999pt,25.130014pt" to="255.049999pt,83.450014pt" stroked="true" strokeweight=".48pt" strokecolor="#000000">
            <v:stroke dashstyle="solid"/>
            <w10:wrap type="none"/>
          </v:line>
        </w:pict>
      </w:r>
      <w:r>
        <w:rPr/>
        <w:t>表 </w:t>
      </w:r>
      <w:r>
        <w:rPr>
          <w:rFonts w:ascii="Arial" w:eastAsia="Arial"/>
        </w:rPr>
        <w:t>1</w:t>
      </w:r>
      <w:r>
        <w:rPr/>
        <w:t>：</w:t>
      </w:r>
    </w:p>
    <w:p>
      <w:pPr>
        <w:pStyle w:val="BodyText"/>
        <w:spacing w:before="2"/>
        <w:rPr>
          <w:sz w:val="6"/>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0"/>
        <w:gridCol w:w="1986"/>
        <w:gridCol w:w="1235"/>
        <w:gridCol w:w="1441"/>
        <w:gridCol w:w="1442"/>
      </w:tblGrid>
      <w:tr>
        <w:trPr>
          <w:trHeight w:val="1165" w:hRule="atLeast"/>
        </w:trPr>
        <w:tc>
          <w:tcPr>
            <w:tcW w:w="2416" w:type="dxa"/>
            <w:gridSpan w:val="2"/>
            <w:tcBorders>
              <w:left w:val="single" w:sz="4" w:space="0" w:color="000000"/>
              <w:bottom w:val="single" w:sz="4" w:space="0" w:color="000000"/>
              <w:right w:val="single" w:sz="4" w:space="0" w:color="000000"/>
            </w:tcBorders>
          </w:tcPr>
          <w:p>
            <w:pPr>
              <w:pStyle w:val="TableParagraph"/>
              <w:spacing w:line="302" w:lineRule="auto" w:before="2"/>
              <w:ind w:left="1466" w:right="12" w:hanging="92"/>
              <w:rPr>
                <w:rFonts w:ascii="Arial" w:eastAsia="Arial"/>
                <w:sz w:val="24"/>
              </w:rPr>
            </w:pPr>
            <w:r>
              <w:rPr>
                <w:sz w:val="24"/>
              </w:rPr>
              <w:t>认证机构总人数 </w:t>
            </w:r>
            <w:r>
              <w:rPr>
                <w:rFonts w:ascii="Arial" w:eastAsia="Arial"/>
                <w:sz w:val="24"/>
                <w:vertAlign w:val="superscript"/>
              </w:rPr>
              <w:t>1</w:t>
            </w:r>
          </w:p>
          <w:p>
            <w:pPr>
              <w:pStyle w:val="TableParagraph"/>
              <w:spacing w:before="2"/>
              <w:ind w:left="330"/>
              <w:rPr>
                <w:sz w:val="24"/>
              </w:rPr>
            </w:pPr>
            <w:r>
              <w:rPr>
                <w:sz w:val="24"/>
              </w:rPr>
              <w:t>评审类型</w:t>
            </w:r>
          </w:p>
        </w:tc>
        <w:tc>
          <w:tcPr>
            <w:tcW w:w="1235" w:type="dxa"/>
            <w:tcBorders>
              <w:left w:val="single" w:sz="4" w:space="0" w:color="000000"/>
              <w:bottom w:val="single" w:sz="4" w:space="0" w:color="000000"/>
              <w:right w:val="single" w:sz="4" w:space="0" w:color="000000"/>
            </w:tcBorders>
          </w:tcPr>
          <w:p>
            <w:pPr>
              <w:pStyle w:val="TableParagraph"/>
              <w:spacing w:before="8"/>
              <w:rPr>
                <w:sz w:val="31"/>
              </w:rPr>
            </w:pPr>
          </w:p>
          <w:p>
            <w:pPr>
              <w:pStyle w:val="TableParagraph"/>
              <w:ind w:left="329" w:right="322"/>
              <w:jc w:val="center"/>
              <w:rPr>
                <w:rFonts w:ascii="Arial" w:hAnsi="Arial"/>
                <w:sz w:val="24"/>
              </w:rPr>
            </w:pPr>
            <w:r>
              <w:rPr>
                <w:rFonts w:ascii="Arial" w:hAnsi="Arial"/>
                <w:sz w:val="24"/>
              </w:rPr>
              <w:t>≤100</w:t>
            </w:r>
          </w:p>
        </w:tc>
        <w:tc>
          <w:tcPr>
            <w:tcW w:w="1441" w:type="dxa"/>
            <w:tcBorders>
              <w:left w:val="single" w:sz="4" w:space="0" w:color="000000"/>
              <w:bottom w:val="single" w:sz="4" w:space="0" w:color="000000"/>
              <w:right w:val="single" w:sz="4" w:space="0" w:color="000000"/>
            </w:tcBorders>
          </w:tcPr>
          <w:p>
            <w:pPr>
              <w:pStyle w:val="TableParagraph"/>
              <w:spacing w:before="8"/>
              <w:rPr>
                <w:sz w:val="31"/>
              </w:rPr>
            </w:pPr>
          </w:p>
          <w:p>
            <w:pPr>
              <w:pStyle w:val="TableParagraph"/>
              <w:ind w:left="256" w:right="253"/>
              <w:jc w:val="center"/>
              <w:rPr>
                <w:rFonts w:ascii="Arial"/>
                <w:sz w:val="24"/>
              </w:rPr>
            </w:pPr>
            <w:r>
              <w:rPr>
                <w:rFonts w:ascii="Arial"/>
                <w:sz w:val="24"/>
              </w:rPr>
              <w:t>101-200</w:t>
            </w:r>
          </w:p>
        </w:tc>
        <w:tc>
          <w:tcPr>
            <w:tcW w:w="1442" w:type="dxa"/>
            <w:tcBorders>
              <w:left w:val="single" w:sz="4" w:space="0" w:color="000000"/>
              <w:bottom w:val="single" w:sz="4" w:space="0" w:color="000000"/>
            </w:tcBorders>
          </w:tcPr>
          <w:p>
            <w:pPr>
              <w:pStyle w:val="TableParagraph"/>
              <w:spacing w:before="8"/>
              <w:rPr>
                <w:sz w:val="31"/>
              </w:rPr>
            </w:pPr>
          </w:p>
          <w:p>
            <w:pPr>
              <w:pStyle w:val="TableParagraph"/>
              <w:ind w:left="425" w:right="420"/>
              <w:jc w:val="center"/>
              <w:rPr>
                <w:rFonts w:ascii="Arial"/>
                <w:sz w:val="24"/>
              </w:rPr>
            </w:pPr>
            <w:r>
              <w:rPr>
                <w:rFonts w:ascii="Arial"/>
                <w:sz w:val="24"/>
              </w:rPr>
              <w:t>&gt;200</w:t>
            </w:r>
          </w:p>
        </w:tc>
      </w:tr>
      <w:tr>
        <w:trPr>
          <w:trHeight w:val="453" w:hRule="atLeast"/>
        </w:trPr>
        <w:tc>
          <w:tcPr>
            <w:tcW w:w="43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sz w:val="23"/>
              </w:rPr>
            </w:pPr>
          </w:p>
          <w:p>
            <w:pPr>
              <w:pStyle w:val="TableParagraph"/>
              <w:spacing w:line="302" w:lineRule="auto" w:before="1"/>
              <w:ind w:left="105" w:right="72"/>
              <w:rPr>
                <w:sz w:val="24"/>
              </w:rPr>
            </w:pPr>
            <w:r>
              <w:rPr>
                <w:sz w:val="24"/>
              </w:rPr>
              <w:t>初评</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before="35"/>
              <w:ind w:left="147" w:right="141"/>
              <w:jc w:val="center"/>
              <w:rPr>
                <w:sz w:val="24"/>
              </w:rPr>
            </w:pPr>
            <w:r>
              <w:rPr>
                <w:sz w:val="24"/>
              </w:rPr>
              <w:t>初次认可</w:t>
            </w:r>
          </w:p>
        </w:tc>
        <w:tc>
          <w:tcPr>
            <w:tcW w:w="1235" w:type="dxa"/>
            <w:tcBorders>
              <w:top w:val="single" w:sz="4" w:space="0" w:color="000000"/>
              <w:left w:val="single" w:sz="4" w:space="0" w:color="000000"/>
              <w:bottom w:val="single" w:sz="4" w:space="0" w:color="000000"/>
              <w:right w:val="single" w:sz="4" w:space="0" w:color="000000"/>
            </w:tcBorders>
          </w:tcPr>
          <w:p>
            <w:pPr>
              <w:pStyle w:val="TableParagraph"/>
              <w:spacing w:before="50"/>
              <w:ind w:left="5"/>
              <w:jc w:val="center"/>
              <w:rPr>
                <w:rFonts w:ascii="Arial"/>
                <w:sz w:val="24"/>
              </w:rPr>
            </w:pPr>
            <w:r>
              <w:rPr>
                <w:rFonts w:ascii="Arial"/>
                <w:w w:val="99"/>
                <w:sz w:val="24"/>
              </w:rPr>
              <w:t>4</w:t>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50"/>
              <w:ind w:left="3"/>
              <w:jc w:val="center"/>
              <w:rPr>
                <w:rFonts w:ascii="Arial"/>
                <w:sz w:val="24"/>
              </w:rPr>
            </w:pPr>
            <w:r>
              <w:rPr>
                <w:rFonts w:ascii="Arial"/>
                <w:w w:val="99"/>
                <w:sz w:val="24"/>
              </w:rPr>
              <w:t>5</w:t>
            </w:r>
          </w:p>
        </w:tc>
        <w:tc>
          <w:tcPr>
            <w:tcW w:w="1442" w:type="dxa"/>
            <w:tcBorders>
              <w:top w:val="single" w:sz="4" w:space="0" w:color="000000"/>
              <w:left w:val="single" w:sz="4" w:space="0" w:color="000000"/>
              <w:bottom w:val="single" w:sz="4" w:space="0" w:color="000000"/>
            </w:tcBorders>
          </w:tcPr>
          <w:p>
            <w:pPr>
              <w:pStyle w:val="TableParagraph"/>
              <w:spacing w:before="50"/>
              <w:ind w:left="5"/>
              <w:jc w:val="center"/>
              <w:rPr>
                <w:rFonts w:ascii="Arial"/>
                <w:sz w:val="24"/>
              </w:rPr>
            </w:pPr>
            <w:r>
              <w:rPr>
                <w:rFonts w:ascii="Arial"/>
                <w:w w:val="99"/>
                <w:sz w:val="24"/>
              </w:rPr>
              <w:t>6</w:t>
            </w:r>
          </w:p>
        </w:tc>
      </w:tr>
      <w:tr>
        <w:trPr>
          <w:trHeight w:val="450" w:hRule="atLeast"/>
        </w:trPr>
        <w:tc>
          <w:tcPr>
            <w:tcW w:w="430" w:type="dxa"/>
            <w:vMerge/>
            <w:tcBorders>
              <w:top w:val="nil"/>
              <w:left w:val="single" w:sz="4" w:space="0" w:color="000000"/>
              <w:bottom w:val="single" w:sz="4" w:space="0" w:color="000000"/>
              <w:right w:val="single" w:sz="4" w:space="0" w:color="000000"/>
            </w:tcBorders>
          </w:tcPr>
          <w:p>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before="33"/>
              <w:ind w:left="147" w:right="141"/>
              <w:jc w:val="center"/>
              <w:rPr>
                <w:rFonts w:ascii="Arial" w:eastAsia="Arial"/>
                <w:sz w:val="24"/>
              </w:rPr>
            </w:pPr>
            <w:r>
              <w:rPr>
                <w:sz w:val="24"/>
              </w:rPr>
              <w:t>扩大认可领域 </w:t>
            </w:r>
            <w:r>
              <w:rPr>
                <w:rFonts w:ascii="Arial" w:eastAsia="Arial"/>
                <w:sz w:val="24"/>
                <w:vertAlign w:val="superscript"/>
              </w:rPr>
              <w:t>2</w:t>
            </w:r>
          </w:p>
        </w:tc>
        <w:tc>
          <w:tcPr>
            <w:tcW w:w="1235" w:type="dxa"/>
            <w:tcBorders>
              <w:top w:val="single" w:sz="4" w:space="0" w:color="000000"/>
              <w:left w:val="single" w:sz="4" w:space="0" w:color="000000"/>
              <w:bottom w:val="single" w:sz="4" w:space="0" w:color="000000"/>
              <w:right w:val="single" w:sz="4" w:space="0" w:color="000000"/>
            </w:tcBorders>
          </w:tcPr>
          <w:p>
            <w:pPr>
              <w:pStyle w:val="TableParagraph"/>
              <w:spacing w:before="48"/>
              <w:ind w:left="5"/>
              <w:jc w:val="center"/>
              <w:rPr>
                <w:rFonts w:ascii="Arial"/>
                <w:sz w:val="24"/>
              </w:rPr>
            </w:pPr>
            <w:r>
              <w:rPr>
                <w:rFonts w:ascii="Arial"/>
                <w:w w:val="99"/>
                <w:sz w:val="24"/>
              </w:rPr>
              <w:t>3</w:t>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48"/>
              <w:ind w:left="3"/>
              <w:jc w:val="center"/>
              <w:rPr>
                <w:rFonts w:ascii="Arial"/>
                <w:sz w:val="24"/>
              </w:rPr>
            </w:pPr>
            <w:r>
              <w:rPr>
                <w:rFonts w:ascii="Arial"/>
                <w:w w:val="99"/>
                <w:sz w:val="24"/>
              </w:rPr>
              <w:t>4</w:t>
            </w:r>
          </w:p>
        </w:tc>
        <w:tc>
          <w:tcPr>
            <w:tcW w:w="1442" w:type="dxa"/>
            <w:tcBorders>
              <w:top w:val="single" w:sz="4" w:space="0" w:color="000000"/>
              <w:left w:val="single" w:sz="4" w:space="0" w:color="000000"/>
              <w:bottom w:val="single" w:sz="4" w:space="0" w:color="000000"/>
            </w:tcBorders>
          </w:tcPr>
          <w:p>
            <w:pPr>
              <w:pStyle w:val="TableParagraph"/>
              <w:spacing w:before="48"/>
              <w:ind w:left="5"/>
              <w:jc w:val="center"/>
              <w:rPr>
                <w:rFonts w:ascii="Arial"/>
                <w:sz w:val="24"/>
              </w:rPr>
            </w:pPr>
            <w:r>
              <w:rPr>
                <w:rFonts w:ascii="Arial"/>
                <w:w w:val="99"/>
                <w:sz w:val="24"/>
              </w:rPr>
              <w:t>5</w:t>
            </w:r>
          </w:p>
        </w:tc>
      </w:tr>
      <w:tr>
        <w:trPr>
          <w:trHeight w:val="453" w:hRule="atLeast"/>
        </w:trPr>
        <w:tc>
          <w:tcPr>
            <w:tcW w:w="430" w:type="dxa"/>
            <w:vMerge/>
            <w:tcBorders>
              <w:top w:val="nil"/>
              <w:left w:val="single" w:sz="4" w:space="0" w:color="000000"/>
              <w:bottom w:val="single" w:sz="4" w:space="0" w:color="000000"/>
              <w:right w:val="single" w:sz="4" w:space="0" w:color="000000"/>
            </w:tcBorders>
          </w:tcPr>
          <w:p>
            <w:pPr>
              <w:rPr>
                <w:sz w:val="2"/>
                <w:szCs w:val="2"/>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before="35"/>
              <w:ind w:left="147" w:right="141"/>
              <w:jc w:val="center"/>
              <w:rPr>
                <w:rFonts w:ascii="Arial" w:eastAsia="Arial"/>
                <w:sz w:val="24"/>
              </w:rPr>
            </w:pPr>
            <w:r>
              <w:rPr>
                <w:sz w:val="24"/>
              </w:rPr>
              <w:t>扩大业务领域 </w:t>
            </w:r>
            <w:r>
              <w:rPr>
                <w:rFonts w:ascii="Arial" w:eastAsia="Arial"/>
                <w:sz w:val="24"/>
                <w:vertAlign w:val="superscript"/>
              </w:rPr>
              <w:t>3</w:t>
            </w:r>
          </w:p>
        </w:tc>
        <w:tc>
          <w:tcPr>
            <w:tcW w:w="1235" w:type="dxa"/>
            <w:tcBorders>
              <w:top w:val="single" w:sz="4" w:space="0" w:color="000000"/>
              <w:left w:val="single" w:sz="4" w:space="0" w:color="000000"/>
              <w:bottom w:val="single" w:sz="4" w:space="0" w:color="000000"/>
              <w:right w:val="single" w:sz="4" w:space="0" w:color="000000"/>
            </w:tcBorders>
          </w:tcPr>
          <w:p>
            <w:pPr>
              <w:pStyle w:val="TableParagraph"/>
              <w:spacing w:before="50"/>
              <w:ind w:left="5"/>
              <w:jc w:val="center"/>
              <w:rPr>
                <w:rFonts w:ascii="Arial"/>
                <w:sz w:val="24"/>
              </w:rPr>
            </w:pPr>
            <w:r>
              <w:rPr>
                <w:rFonts w:ascii="Arial"/>
                <w:w w:val="99"/>
                <w:sz w:val="24"/>
              </w:rPr>
              <w:t>2</w:t>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50"/>
              <w:ind w:left="3"/>
              <w:jc w:val="center"/>
              <w:rPr>
                <w:rFonts w:ascii="Arial"/>
                <w:sz w:val="24"/>
              </w:rPr>
            </w:pPr>
            <w:r>
              <w:rPr>
                <w:rFonts w:ascii="Arial"/>
                <w:w w:val="99"/>
                <w:sz w:val="24"/>
              </w:rPr>
              <w:t>3</w:t>
            </w:r>
          </w:p>
        </w:tc>
        <w:tc>
          <w:tcPr>
            <w:tcW w:w="1442" w:type="dxa"/>
            <w:tcBorders>
              <w:top w:val="single" w:sz="4" w:space="0" w:color="000000"/>
              <w:left w:val="single" w:sz="4" w:space="0" w:color="000000"/>
              <w:bottom w:val="single" w:sz="4" w:space="0" w:color="000000"/>
            </w:tcBorders>
          </w:tcPr>
          <w:p>
            <w:pPr>
              <w:pStyle w:val="TableParagraph"/>
              <w:spacing w:before="50"/>
              <w:ind w:left="5"/>
              <w:jc w:val="center"/>
              <w:rPr>
                <w:rFonts w:ascii="Arial"/>
                <w:sz w:val="24"/>
              </w:rPr>
            </w:pPr>
            <w:r>
              <w:rPr>
                <w:rFonts w:ascii="Arial"/>
                <w:w w:val="99"/>
                <w:sz w:val="24"/>
              </w:rPr>
              <w:t>4</w:t>
            </w:r>
          </w:p>
        </w:tc>
      </w:tr>
      <w:tr>
        <w:trPr>
          <w:trHeight w:val="443" w:hRule="atLeast"/>
        </w:trPr>
        <w:tc>
          <w:tcPr>
            <w:tcW w:w="24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1"/>
              <w:ind w:left="945" w:right="941"/>
              <w:jc w:val="center"/>
              <w:rPr>
                <w:sz w:val="24"/>
              </w:rPr>
            </w:pPr>
            <w:r>
              <w:rPr>
                <w:sz w:val="24"/>
              </w:rPr>
              <w:t>复评</w:t>
            </w:r>
          </w:p>
        </w:tc>
        <w:tc>
          <w:tcPr>
            <w:tcW w:w="1235" w:type="dxa"/>
            <w:tcBorders>
              <w:top w:val="single" w:sz="4" w:space="0" w:color="000000"/>
              <w:left w:val="single" w:sz="4" w:space="0" w:color="000000"/>
              <w:bottom w:val="single" w:sz="4" w:space="0" w:color="000000"/>
              <w:right w:val="single" w:sz="4" w:space="0" w:color="000000"/>
            </w:tcBorders>
          </w:tcPr>
          <w:p>
            <w:pPr>
              <w:pStyle w:val="TableParagraph"/>
              <w:spacing w:before="46"/>
              <w:ind w:left="5"/>
              <w:jc w:val="center"/>
              <w:rPr>
                <w:rFonts w:ascii="Arial"/>
                <w:sz w:val="24"/>
              </w:rPr>
            </w:pPr>
            <w:r>
              <w:rPr>
                <w:rFonts w:ascii="Arial"/>
                <w:w w:val="99"/>
                <w:sz w:val="24"/>
              </w:rPr>
              <w:t>3</w:t>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4</w:t>
            </w:r>
          </w:p>
        </w:tc>
        <w:tc>
          <w:tcPr>
            <w:tcW w:w="1442" w:type="dxa"/>
            <w:tcBorders>
              <w:top w:val="single" w:sz="4" w:space="0" w:color="000000"/>
              <w:left w:val="single" w:sz="4" w:space="0" w:color="000000"/>
              <w:bottom w:val="single" w:sz="4" w:space="0" w:color="000000"/>
            </w:tcBorders>
          </w:tcPr>
          <w:p>
            <w:pPr>
              <w:pStyle w:val="TableParagraph"/>
              <w:spacing w:before="46"/>
              <w:ind w:left="5"/>
              <w:jc w:val="center"/>
              <w:rPr>
                <w:rFonts w:ascii="Arial"/>
                <w:sz w:val="24"/>
              </w:rPr>
            </w:pPr>
            <w:r>
              <w:rPr>
                <w:rFonts w:ascii="Arial"/>
                <w:w w:val="99"/>
                <w:sz w:val="24"/>
              </w:rPr>
              <w:t>5</w:t>
            </w:r>
          </w:p>
        </w:tc>
      </w:tr>
      <w:tr>
        <w:trPr>
          <w:trHeight w:val="445" w:hRule="atLeast"/>
        </w:trPr>
        <w:tc>
          <w:tcPr>
            <w:tcW w:w="2416" w:type="dxa"/>
            <w:gridSpan w:val="2"/>
            <w:tcBorders>
              <w:top w:val="single" w:sz="4" w:space="0" w:color="000000"/>
              <w:left w:val="single" w:sz="4" w:space="0" w:color="000000"/>
              <w:right w:val="single" w:sz="4" w:space="0" w:color="000000"/>
            </w:tcBorders>
          </w:tcPr>
          <w:p>
            <w:pPr>
              <w:pStyle w:val="TableParagraph"/>
              <w:spacing w:before="31"/>
              <w:ind w:left="945" w:right="941"/>
              <w:jc w:val="center"/>
              <w:rPr>
                <w:sz w:val="24"/>
              </w:rPr>
            </w:pPr>
            <w:r>
              <w:rPr>
                <w:sz w:val="24"/>
              </w:rPr>
              <w:t>监督</w:t>
            </w:r>
          </w:p>
        </w:tc>
        <w:tc>
          <w:tcPr>
            <w:tcW w:w="1235" w:type="dxa"/>
            <w:tcBorders>
              <w:top w:val="single" w:sz="4" w:space="0" w:color="000000"/>
              <w:left w:val="single" w:sz="4" w:space="0" w:color="000000"/>
              <w:right w:val="single" w:sz="4" w:space="0" w:color="000000"/>
            </w:tcBorders>
          </w:tcPr>
          <w:p>
            <w:pPr>
              <w:pStyle w:val="TableParagraph"/>
              <w:spacing w:before="46"/>
              <w:ind w:left="5"/>
              <w:jc w:val="center"/>
              <w:rPr>
                <w:rFonts w:ascii="Arial"/>
                <w:sz w:val="24"/>
              </w:rPr>
            </w:pPr>
            <w:r>
              <w:rPr>
                <w:rFonts w:ascii="Arial"/>
                <w:w w:val="99"/>
                <w:sz w:val="24"/>
              </w:rPr>
              <w:t>2</w:t>
            </w:r>
          </w:p>
        </w:tc>
        <w:tc>
          <w:tcPr>
            <w:tcW w:w="1441" w:type="dxa"/>
            <w:tcBorders>
              <w:top w:val="single" w:sz="4" w:space="0" w:color="000000"/>
              <w:left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3</w:t>
            </w:r>
          </w:p>
        </w:tc>
        <w:tc>
          <w:tcPr>
            <w:tcW w:w="1442" w:type="dxa"/>
            <w:tcBorders>
              <w:top w:val="single" w:sz="4" w:space="0" w:color="000000"/>
              <w:left w:val="single" w:sz="4" w:space="0" w:color="000000"/>
            </w:tcBorders>
          </w:tcPr>
          <w:p>
            <w:pPr>
              <w:pStyle w:val="TableParagraph"/>
              <w:spacing w:before="46"/>
              <w:ind w:left="5"/>
              <w:jc w:val="center"/>
              <w:rPr>
                <w:rFonts w:ascii="Arial"/>
                <w:sz w:val="24"/>
              </w:rPr>
            </w:pPr>
            <w:r>
              <w:rPr>
                <w:rFonts w:ascii="Arial"/>
                <w:w w:val="99"/>
                <w:sz w:val="24"/>
              </w:rPr>
              <w:t>4</w:t>
            </w:r>
          </w:p>
        </w:tc>
      </w:tr>
    </w:tbl>
    <w:p>
      <w:pPr>
        <w:pStyle w:val="BodyText"/>
        <w:spacing w:line="302" w:lineRule="auto" w:before="2"/>
        <w:ind w:left="1903" w:right="1542" w:hanging="471"/>
        <w:rPr>
          <w:rFonts w:ascii="仿宋" w:eastAsia="仿宋" w:hint="eastAsia"/>
        </w:rPr>
      </w:pPr>
      <w:r>
        <w:rPr>
          <w:rFonts w:ascii="仿宋" w:eastAsia="仿宋" w:hint="eastAsia"/>
        </w:rPr>
        <w:t>注 1：上述认证机构总人数包括该领域认证机构聘用的专职人员和兼职人员；</w:t>
      </w:r>
    </w:p>
    <w:p>
      <w:pPr>
        <w:pStyle w:val="BodyText"/>
        <w:spacing w:line="304" w:lineRule="auto" w:before="3"/>
        <w:ind w:left="1903" w:right="1533" w:hanging="471"/>
        <w:rPr>
          <w:rFonts w:ascii="仿宋" w:eastAsia="仿宋" w:hint="eastAsia"/>
        </w:rPr>
      </w:pPr>
      <w:r>
        <w:rPr>
          <w:rFonts w:ascii="仿宋" w:eastAsia="仿宋" w:hint="eastAsia"/>
          <w:spacing w:val="-38"/>
        </w:rPr>
        <w:t>注 </w:t>
      </w:r>
      <w:r>
        <w:rPr>
          <w:rFonts w:ascii="仿宋" w:eastAsia="仿宋" w:hint="eastAsia"/>
        </w:rPr>
        <w:t>2</w:t>
      </w:r>
      <w:r>
        <w:rPr>
          <w:rFonts w:ascii="仿宋" w:eastAsia="仿宋" w:hint="eastAsia"/>
          <w:spacing w:val="-21"/>
        </w:rPr>
        <w:t>：上述认可领域参照 </w:t>
      </w:r>
      <w:r>
        <w:rPr>
          <w:rFonts w:ascii="仿宋" w:eastAsia="仿宋" w:hint="eastAsia"/>
        </w:rPr>
        <w:t>CNAS-ASC01</w:t>
      </w:r>
      <w:r>
        <w:rPr>
          <w:rFonts w:ascii="仿宋" w:eastAsia="仿宋" w:hint="eastAsia"/>
          <w:spacing w:val="-20"/>
        </w:rPr>
        <w:t> 中的专项认可制度划分</w:t>
      </w:r>
      <w:r>
        <w:rPr>
          <w:rFonts w:ascii="仿宋" w:eastAsia="仿宋" w:hint="eastAsia"/>
        </w:rPr>
        <w:t>（</w:t>
      </w:r>
      <w:r>
        <w:rPr>
          <w:rFonts w:ascii="仿宋" w:eastAsia="仿宋" w:hint="eastAsia"/>
          <w:spacing w:val="-16"/>
        </w:rPr>
        <w:t>例</w:t>
      </w:r>
      <w:r>
        <w:rPr>
          <w:rFonts w:ascii="仿宋" w:eastAsia="仿宋" w:hint="eastAsia"/>
        </w:rPr>
        <w:t>如：QMS</w:t>
      </w:r>
      <w:r>
        <w:rPr>
          <w:rFonts w:ascii="仿宋" w:eastAsia="仿宋" w:hint="eastAsia"/>
          <w:spacing w:val="-14"/>
        </w:rPr>
        <w:t> 认证机构扩大认可 </w:t>
      </w:r>
      <w:r>
        <w:rPr>
          <w:rFonts w:ascii="仿宋" w:eastAsia="仿宋" w:hint="eastAsia"/>
        </w:rPr>
        <w:t>EMS、OHSMS</w:t>
      </w:r>
      <w:r>
        <w:rPr>
          <w:rFonts w:ascii="仿宋" w:eastAsia="仿宋" w:hint="eastAsia"/>
          <w:spacing w:val="-30"/>
        </w:rPr>
        <w:t> 等</w:t>
      </w:r>
      <w:r>
        <w:rPr>
          <w:rFonts w:ascii="仿宋" w:eastAsia="仿宋" w:hint="eastAsia"/>
          <w:spacing w:val="-120"/>
        </w:rPr>
        <w:t>）</w:t>
      </w:r>
      <w:r>
        <w:rPr>
          <w:rFonts w:ascii="仿宋" w:eastAsia="仿宋" w:hint="eastAsia"/>
        </w:rPr>
        <w:t>；</w:t>
      </w:r>
    </w:p>
    <w:p>
      <w:pPr>
        <w:pStyle w:val="BodyText"/>
        <w:spacing w:line="302" w:lineRule="auto"/>
        <w:ind w:left="1903" w:right="1415" w:hanging="471"/>
        <w:rPr>
          <w:rFonts w:ascii="仿宋" w:eastAsia="仿宋" w:hint="eastAsia"/>
        </w:rPr>
      </w:pPr>
      <w:r>
        <w:rPr>
          <w:rFonts w:ascii="仿宋" w:eastAsia="仿宋" w:hint="eastAsia"/>
          <w:spacing w:val="-38"/>
        </w:rPr>
        <w:t>注 </w:t>
      </w:r>
      <w:r>
        <w:rPr>
          <w:rFonts w:ascii="仿宋" w:eastAsia="仿宋" w:hint="eastAsia"/>
        </w:rPr>
        <w:t>3</w:t>
      </w:r>
      <w:r>
        <w:rPr>
          <w:rFonts w:ascii="仿宋" w:eastAsia="仿宋" w:hint="eastAsia"/>
          <w:spacing w:val="-21"/>
        </w:rPr>
        <w:t>：上述业务领域参照 </w:t>
      </w:r>
      <w:r>
        <w:rPr>
          <w:rFonts w:ascii="仿宋" w:eastAsia="仿宋" w:hint="eastAsia"/>
        </w:rPr>
        <w:t>CNAS-ASC01</w:t>
      </w:r>
      <w:r>
        <w:rPr>
          <w:rFonts w:ascii="仿宋" w:eastAsia="仿宋" w:hint="eastAsia"/>
          <w:spacing w:val="-20"/>
        </w:rPr>
        <w:t> 中的分项认可制度划分</w:t>
      </w:r>
      <w:r>
        <w:rPr>
          <w:rFonts w:ascii="仿宋" w:eastAsia="仿宋" w:hint="eastAsia"/>
        </w:rPr>
        <w:t>（例</w:t>
      </w:r>
      <w:r>
        <w:rPr>
          <w:rFonts w:ascii="仿宋" w:eastAsia="仿宋" w:hint="eastAsia"/>
          <w:spacing w:val="-27"/>
        </w:rPr>
        <w:t>如：已具备 </w:t>
      </w:r>
      <w:r>
        <w:rPr>
          <w:rFonts w:ascii="仿宋" w:eastAsia="仿宋" w:hint="eastAsia"/>
        </w:rPr>
        <w:t>ISO9001</w:t>
      </w:r>
      <w:r>
        <w:rPr>
          <w:rFonts w:ascii="仿宋" w:eastAsia="仿宋" w:hint="eastAsia"/>
          <w:spacing w:val="-12"/>
        </w:rPr>
        <w:t> 认可的认证机构扩大认可 </w:t>
      </w:r>
      <w:r>
        <w:rPr>
          <w:rFonts w:ascii="仿宋" w:eastAsia="仿宋" w:hint="eastAsia"/>
        </w:rPr>
        <w:t>TL9000</w:t>
      </w:r>
      <w:r>
        <w:rPr>
          <w:rFonts w:ascii="仿宋" w:eastAsia="仿宋" w:hint="eastAsia"/>
          <w:spacing w:val="-30"/>
        </w:rPr>
        <w:t> 等</w:t>
      </w:r>
      <w:r>
        <w:rPr>
          <w:rFonts w:ascii="仿宋" w:eastAsia="仿宋" w:hint="eastAsia"/>
          <w:spacing w:val="-120"/>
        </w:rPr>
        <w:t>）</w:t>
      </w:r>
      <w:r>
        <w:rPr>
          <w:rFonts w:ascii="仿宋" w:eastAsia="仿宋" w:hint="eastAsia"/>
          <w:spacing w:val="-16"/>
        </w:rPr>
        <w:t>。</w:t>
      </w:r>
    </w:p>
    <w:p>
      <w:pPr>
        <w:pStyle w:val="Heading4"/>
        <w:numPr>
          <w:ilvl w:val="3"/>
          <w:numId w:val="7"/>
        </w:numPr>
        <w:tabs>
          <w:tab w:pos="1435" w:val="left" w:leader="none"/>
          <w:tab w:pos="1436" w:val="left" w:leader="none"/>
        </w:tabs>
        <w:spacing w:line="240" w:lineRule="auto" w:before="0" w:after="0"/>
        <w:ind w:left="1435" w:right="0" w:hanging="1135"/>
        <w:jc w:val="left"/>
      </w:pPr>
      <w:r>
        <w:rPr>
          <w:spacing w:val="-2"/>
        </w:rPr>
        <w:t>认证业务范围能力的评审</w:t>
      </w:r>
    </w:p>
    <w:p>
      <w:pPr>
        <w:pStyle w:val="BodyText"/>
        <w:spacing w:before="95"/>
        <w:ind w:left="300"/>
      </w:pPr>
      <w:r>
        <w:rPr/>
        <w:pict>
          <v:line style="position:absolute;mso-position-horizontal-relative:page;mso-position-vertical-relative:paragraph;z-index:-47464" from="126.620003pt,25.15pt" to="251.090003pt,71.47pt" stroked="true" strokeweight=".48pt" strokecolor="#000000">
            <v:stroke dashstyle="solid"/>
            <w10:wrap type="none"/>
          </v:line>
        </w:pict>
      </w:r>
      <w:r>
        <w:rPr/>
        <w:t>表 </w:t>
      </w:r>
      <w:r>
        <w:rPr>
          <w:rFonts w:ascii="Arial" w:eastAsia="Arial"/>
        </w:rPr>
        <w:t>2</w:t>
      </w:r>
      <w:r>
        <w:rPr/>
        <w:t>：</w:t>
      </w:r>
    </w:p>
    <w:p>
      <w:pPr>
        <w:pStyle w:val="BodyText"/>
        <w:spacing w:before="4"/>
        <w:rPr>
          <w:sz w:val="6"/>
        </w:rPr>
      </w:pPr>
    </w:p>
    <w:tbl>
      <w:tblPr>
        <w:tblW w:w="0" w:type="auto"/>
        <w:jc w:val="left"/>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99"/>
        <w:gridCol w:w="1080"/>
        <w:gridCol w:w="1080"/>
        <w:gridCol w:w="1080"/>
        <w:gridCol w:w="1117"/>
      </w:tblGrid>
      <w:tr>
        <w:trPr>
          <w:trHeight w:val="925" w:hRule="atLeast"/>
        </w:trPr>
        <w:tc>
          <w:tcPr>
            <w:tcW w:w="2499" w:type="dxa"/>
            <w:tcBorders>
              <w:left w:val="single" w:sz="4" w:space="0" w:color="000000"/>
              <w:bottom w:val="single" w:sz="4" w:space="0" w:color="000000"/>
              <w:right w:val="single" w:sz="4" w:space="0" w:color="000000"/>
            </w:tcBorders>
          </w:tcPr>
          <w:p>
            <w:pPr>
              <w:pStyle w:val="TableParagraph"/>
              <w:spacing w:line="302" w:lineRule="auto" w:before="2"/>
              <w:ind w:left="105" w:right="30" w:firstLine="657"/>
              <w:rPr>
                <w:sz w:val="24"/>
              </w:rPr>
            </w:pPr>
            <w:r>
              <w:rPr>
                <w:sz w:val="24"/>
              </w:rPr>
              <w:t>业务范围类型数评审类型</w:t>
            </w:r>
          </w:p>
        </w:tc>
        <w:tc>
          <w:tcPr>
            <w:tcW w:w="1080" w:type="dxa"/>
            <w:tcBorders>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210" w:right="204"/>
              <w:jc w:val="center"/>
              <w:rPr>
                <w:rFonts w:ascii="Arial" w:hAnsi="Arial"/>
                <w:sz w:val="24"/>
              </w:rPr>
            </w:pPr>
            <w:r>
              <w:rPr>
                <w:rFonts w:ascii="Arial" w:hAnsi="Arial"/>
                <w:sz w:val="24"/>
              </w:rPr>
              <w:t>≤10</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212" w:right="204"/>
              <w:jc w:val="center"/>
              <w:rPr>
                <w:rFonts w:ascii="Arial"/>
                <w:sz w:val="24"/>
              </w:rPr>
            </w:pPr>
            <w:r>
              <w:rPr>
                <w:rFonts w:ascii="Arial"/>
                <w:sz w:val="24"/>
              </w:rPr>
              <w:t>11-20</w:t>
            </w:r>
          </w:p>
        </w:tc>
        <w:tc>
          <w:tcPr>
            <w:tcW w:w="1080" w:type="dxa"/>
            <w:tcBorders>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212" w:right="204"/>
              <w:jc w:val="center"/>
              <w:rPr>
                <w:rFonts w:ascii="Arial"/>
                <w:sz w:val="24"/>
              </w:rPr>
            </w:pPr>
            <w:r>
              <w:rPr>
                <w:rFonts w:ascii="Arial"/>
                <w:sz w:val="24"/>
              </w:rPr>
              <w:t>21-30</w:t>
            </w:r>
          </w:p>
        </w:tc>
        <w:tc>
          <w:tcPr>
            <w:tcW w:w="1117" w:type="dxa"/>
            <w:tcBorders>
              <w:left w:val="single" w:sz="4" w:space="0" w:color="000000"/>
              <w:bottom w:val="single" w:sz="4" w:space="0" w:color="000000"/>
            </w:tcBorders>
          </w:tcPr>
          <w:p>
            <w:pPr>
              <w:pStyle w:val="TableParagraph"/>
              <w:spacing w:before="3"/>
              <w:rPr>
                <w:sz w:val="22"/>
              </w:rPr>
            </w:pPr>
          </w:p>
          <w:p>
            <w:pPr>
              <w:pStyle w:val="TableParagraph"/>
              <w:spacing w:before="1"/>
              <w:ind w:left="229" w:right="219"/>
              <w:jc w:val="center"/>
              <w:rPr>
                <w:rFonts w:ascii="Arial"/>
                <w:sz w:val="24"/>
              </w:rPr>
            </w:pPr>
            <w:r>
              <w:rPr>
                <w:rFonts w:ascii="Arial"/>
                <w:sz w:val="24"/>
              </w:rPr>
              <w:t>31-40</w:t>
            </w:r>
          </w:p>
        </w:tc>
      </w:tr>
      <w:tr>
        <w:trPr>
          <w:trHeight w:val="441" w:hRule="atLeast"/>
        </w:trPr>
        <w:tc>
          <w:tcPr>
            <w:tcW w:w="2499" w:type="dxa"/>
            <w:tcBorders>
              <w:top w:val="single" w:sz="4" w:space="0" w:color="000000"/>
              <w:left w:val="single" w:sz="4" w:space="0" w:color="000000"/>
              <w:bottom w:val="single" w:sz="4" w:space="0" w:color="000000"/>
              <w:right w:val="single" w:sz="4" w:space="0" w:color="000000"/>
            </w:tcBorders>
          </w:tcPr>
          <w:p>
            <w:pPr>
              <w:pStyle w:val="TableParagraph"/>
              <w:spacing w:before="31"/>
              <w:ind w:left="985" w:right="984"/>
              <w:jc w:val="center"/>
              <w:rPr>
                <w:sz w:val="24"/>
              </w:rPr>
            </w:pPr>
            <w:r>
              <w:rPr>
                <w:sz w:val="24"/>
              </w:rPr>
              <w:t>初评</w:t>
            </w:r>
          </w:p>
        </w:tc>
        <w:tc>
          <w:tcPr>
            <w:tcW w:w="1080" w:type="dxa"/>
            <w:tcBorders>
              <w:top w:val="single" w:sz="4" w:space="0" w:color="000000"/>
              <w:left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2</w:t>
            </w:r>
          </w:p>
        </w:tc>
        <w:tc>
          <w:tcPr>
            <w:tcW w:w="1080" w:type="dxa"/>
            <w:tcBorders>
              <w:top w:val="single" w:sz="4" w:space="0" w:color="000000"/>
              <w:left w:val="single" w:sz="4" w:space="0" w:color="000000"/>
              <w:right w:val="single" w:sz="4" w:space="0" w:color="000000"/>
            </w:tcBorders>
          </w:tcPr>
          <w:p>
            <w:pPr>
              <w:pStyle w:val="TableParagraph"/>
              <w:spacing w:before="46"/>
              <w:ind w:left="206" w:right="204"/>
              <w:jc w:val="center"/>
              <w:rPr>
                <w:rFonts w:ascii="Arial"/>
                <w:sz w:val="24"/>
              </w:rPr>
            </w:pPr>
            <w:r>
              <w:rPr>
                <w:rFonts w:ascii="Arial"/>
                <w:sz w:val="24"/>
              </w:rPr>
              <w:t>3-4</w:t>
            </w:r>
          </w:p>
        </w:tc>
        <w:tc>
          <w:tcPr>
            <w:tcW w:w="1080" w:type="dxa"/>
            <w:tcBorders>
              <w:top w:val="single" w:sz="4" w:space="0" w:color="000000"/>
              <w:left w:val="single" w:sz="4" w:space="0" w:color="000000"/>
              <w:right w:val="single" w:sz="4" w:space="0" w:color="000000"/>
            </w:tcBorders>
          </w:tcPr>
          <w:p>
            <w:pPr>
              <w:pStyle w:val="TableParagraph"/>
              <w:spacing w:before="46"/>
              <w:ind w:left="206" w:right="204"/>
              <w:jc w:val="center"/>
              <w:rPr>
                <w:rFonts w:ascii="Arial"/>
                <w:sz w:val="24"/>
              </w:rPr>
            </w:pPr>
            <w:r>
              <w:rPr>
                <w:rFonts w:ascii="Arial"/>
                <w:sz w:val="24"/>
              </w:rPr>
              <w:t>4-5</w:t>
            </w:r>
          </w:p>
        </w:tc>
        <w:tc>
          <w:tcPr>
            <w:tcW w:w="1117" w:type="dxa"/>
            <w:tcBorders>
              <w:top w:val="single" w:sz="4" w:space="0" w:color="000000"/>
              <w:left w:val="single" w:sz="4" w:space="0" w:color="000000"/>
            </w:tcBorders>
          </w:tcPr>
          <w:p>
            <w:pPr>
              <w:pStyle w:val="TableParagraph"/>
              <w:spacing w:before="46"/>
              <w:ind w:left="228" w:right="219"/>
              <w:jc w:val="center"/>
              <w:rPr>
                <w:rFonts w:ascii="Arial"/>
                <w:sz w:val="24"/>
              </w:rPr>
            </w:pPr>
            <w:r>
              <w:rPr>
                <w:rFonts w:ascii="Arial"/>
                <w:sz w:val="24"/>
              </w:rPr>
              <w:t>5-6</w:t>
            </w:r>
          </w:p>
        </w:tc>
      </w:tr>
    </w:tbl>
    <w:p>
      <w:pPr>
        <w:pStyle w:val="Heading4"/>
        <w:numPr>
          <w:ilvl w:val="3"/>
          <w:numId w:val="7"/>
        </w:numPr>
        <w:tabs>
          <w:tab w:pos="1435" w:val="left" w:leader="none"/>
          <w:tab w:pos="1436" w:val="left" w:leader="none"/>
        </w:tabs>
        <w:spacing w:line="240" w:lineRule="auto" w:before="6" w:after="0"/>
        <w:ind w:left="1435" w:right="0" w:hanging="1135"/>
        <w:jc w:val="left"/>
      </w:pPr>
      <w:r>
        <w:rPr>
          <w:spacing w:val="-2"/>
        </w:rPr>
        <w:t>认证业务范围能力的确认</w:t>
      </w:r>
    </w:p>
    <w:p>
      <w:pPr>
        <w:spacing w:after="0" w:line="240" w:lineRule="auto"/>
        <w:jc w:val="left"/>
        <w:sectPr>
          <w:pgSz w:w="11910" w:h="16850"/>
          <w:pgMar w:header="876" w:footer="985" w:top="1340" w:bottom="1180" w:left="1260" w:right="1180"/>
        </w:sectPr>
      </w:pPr>
    </w:p>
    <w:p>
      <w:pPr>
        <w:pStyle w:val="BodyText"/>
        <w:spacing w:before="67"/>
        <w:ind w:left="300"/>
      </w:pPr>
      <w:r>
        <w:rPr/>
        <w:pict>
          <v:line style="position:absolute;mso-position-horizontal-relative:page;mso-position-vertical-relative:paragraph;z-index:-47440" from="133.940002pt,23.62998pt" to="251.690002pt,82.06998pt" stroked="true" strokeweight=".48pt" strokecolor="#000000">
            <v:stroke dashstyle="solid"/>
            <w10:wrap type="none"/>
          </v:line>
        </w:pict>
      </w:r>
      <w:r>
        <w:rPr/>
        <w:t>表 </w:t>
      </w:r>
      <w:r>
        <w:rPr>
          <w:rFonts w:ascii="Arial" w:eastAsia="Arial"/>
        </w:rPr>
        <w:t>3</w:t>
      </w:r>
      <w:r>
        <w:rPr/>
        <w:t>：</w:t>
      </w:r>
    </w:p>
    <w:p>
      <w:pPr>
        <w:pStyle w:val="BodyText"/>
        <w:spacing w:before="2"/>
        <w:rPr>
          <w:sz w:val="6"/>
        </w:rPr>
      </w:pPr>
    </w:p>
    <w:tbl>
      <w:tblPr>
        <w:tblW w:w="0" w:type="auto"/>
        <w:jc w:val="left"/>
        <w:tblInd w:w="1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65"/>
        <w:gridCol w:w="1345"/>
        <w:gridCol w:w="1417"/>
        <w:gridCol w:w="1439"/>
      </w:tblGrid>
      <w:tr>
        <w:trPr>
          <w:trHeight w:val="1168" w:hRule="atLeast"/>
        </w:trPr>
        <w:tc>
          <w:tcPr>
            <w:tcW w:w="2365" w:type="dxa"/>
            <w:tcBorders>
              <w:left w:val="single" w:sz="4" w:space="0" w:color="000000"/>
              <w:bottom w:val="single" w:sz="4" w:space="0" w:color="000000"/>
              <w:right w:val="single" w:sz="4" w:space="0" w:color="000000"/>
            </w:tcBorders>
          </w:tcPr>
          <w:p>
            <w:pPr>
              <w:pStyle w:val="TableParagraph"/>
              <w:spacing w:line="302" w:lineRule="auto" w:before="2"/>
              <w:ind w:left="1330" w:right="38" w:hanging="5"/>
              <w:rPr>
                <w:sz w:val="24"/>
              </w:rPr>
            </w:pPr>
            <w:r>
              <w:rPr>
                <w:sz w:val="24"/>
              </w:rPr>
              <w:t>认证机构总颁证数</w:t>
            </w:r>
          </w:p>
          <w:p>
            <w:pPr>
              <w:pStyle w:val="TableParagraph"/>
              <w:spacing w:before="2"/>
              <w:ind w:left="105"/>
              <w:rPr>
                <w:sz w:val="24"/>
              </w:rPr>
            </w:pPr>
            <w:r>
              <w:rPr>
                <w:sz w:val="24"/>
              </w:rPr>
              <w:t>评审类型</w:t>
            </w:r>
          </w:p>
        </w:tc>
        <w:tc>
          <w:tcPr>
            <w:tcW w:w="1345"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385" w:right="377"/>
              <w:jc w:val="center"/>
              <w:rPr>
                <w:rFonts w:ascii="Arial" w:hAnsi="Arial"/>
                <w:sz w:val="24"/>
              </w:rPr>
            </w:pPr>
            <w:r>
              <w:rPr>
                <w:rFonts w:ascii="Arial" w:hAnsi="Arial"/>
                <w:sz w:val="24"/>
              </w:rPr>
              <w:t>≤500</w:t>
            </w:r>
          </w:p>
        </w:tc>
        <w:tc>
          <w:tcPr>
            <w:tcW w:w="1417"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176" w:right="176"/>
              <w:jc w:val="center"/>
              <w:rPr>
                <w:rFonts w:ascii="Arial"/>
                <w:sz w:val="24"/>
              </w:rPr>
            </w:pPr>
            <w:r>
              <w:rPr>
                <w:rFonts w:ascii="Arial"/>
                <w:sz w:val="24"/>
              </w:rPr>
              <w:t>501-3000</w:t>
            </w:r>
          </w:p>
        </w:tc>
        <w:tc>
          <w:tcPr>
            <w:tcW w:w="1439" w:type="dxa"/>
            <w:tcBorders>
              <w:left w:val="single" w:sz="4" w:space="0" w:color="000000"/>
              <w:bottom w:val="single" w:sz="4" w:space="0" w:color="000000"/>
            </w:tcBorders>
          </w:tcPr>
          <w:p>
            <w:pPr>
              <w:pStyle w:val="TableParagraph"/>
              <w:spacing w:before="10"/>
              <w:rPr>
                <w:sz w:val="31"/>
              </w:rPr>
            </w:pPr>
          </w:p>
          <w:p>
            <w:pPr>
              <w:pStyle w:val="TableParagraph"/>
              <w:spacing w:before="1"/>
              <w:ind w:left="359" w:right="350"/>
              <w:jc w:val="center"/>
              <w:rPr>
                <w:rFonts w:ascii="Arial"/>
                <w:sz w:val="24"/>
              </w:rPr>
            </w:pPr>
            <w:r>
              <w:rPr>
                <w:rFonts w:ascii="Arial"/>
                <w:sz w:val="24"/>
              </w:rPr>
              <w:t>&gt;3000</w:t>
            </w:r>
          </w:p>
        </w:tc>
      </w:tr>
      <w:tr>
        <w:trPr>
          <w:trHeight w:val="443" w:hRule="atLeast"/>
        </w:trPr>
        <w:tc>
          <w:tcPr>
            <w:tcW w:w="2365" w:type="dxa"/>
            <w:tcBorders>
              <w:top w:val="single" w:sz="4" w:space="0" w:color="000000"/>
              <w:left w:val="single" w:sz="4" w:space="0" w:color="000000"/>
              <w:bottom w:val="single" w:sz="4" w:space="0" w:color="000000"/>
              <w:right w:val="single" w:sz="4" w:space="0" w:color="000000"/>
            </w:tcBorders>
          </w:tcPr>
          <w:p>
            <w:pPr>
              <w:pStyle w:val="TableParagraph"/>
              <w:spacing w:before="28"/>
              <w:ind w:left="918" w:right="917"/>
              <w:jc w:val="center"/>
              <w:rPr>
                <w:sz w:val="24"/>
              </w:rPr>
            </w:pPr>
            <w:r>
              <w:rPr>
                <w:sz w:val="24"/>
              </w:rPr>
              <w:t>监督</w:t>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3"/>
              <w:ind w:left="383" w:right="377"/>
              <w:jc w:val="center"/>
              <w:rPr>
                <w:rFonts w:ascii="Arial"/>
                <w:sz w:val="24"/>
              </w:rPr>
            </w:pPr>
            <w:r>
              <w:rPr>
                <w:rFonts w:ascii="Arial"/>
                <w:sz w:val="24"/>
              </w:rPr>
              <w:t>1.5</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43"/>
              <w:jc w:val="center"/>
              <w:rPr>
                <w:rFonts w:ascii="Arial"/>
                <w:sz w:val="24"/>
              </w:rPr>
            </w:pPr>
            <w:r>
              <w:rPr>
                <w:rFonts w:ascii="Arial"/>
                <w:w w:val="99"/>
                <w:sz w:val="24"/>
              </w:rPr>
              <w:t>2</w:t>
            </w:r>
          </w:p>
        </w:tc>
        <w:tc>
          <w:tcPr>
            <w:tcW w:w="1439" w:type="dxa"/>
            <w:tcBorders>
              <w:top w:val="single" w:sz="4" w:space="0" w:color="000000"/>
              <w:left w:val="single" w:sz="4" w:space="0" w:color="000000"/>
              <w:bottom w:val="single" w:sz="4" w:space="0" w:color="000000"/>
            </w:tcBorders>
          </w:tcPr>
          <w:p>
            <w:pPr>
              <w:pStyle w:val="TableParagraph"/>
              <w:spacing w:before="43"/>
              <w:ind w:left="359" w:right="350"/>
              <w:jc w:val="center"/>
              <w:rPr>
                <w:rFonts w:ascii="Arial"/>
                <w:sz w:val="24"/>
              </w:rPr>
            </w:pPr>
            <w:r>
              <w:rPr>
                <w:rFonts w:ascii="Arial"/>
                <w:sz w:val="24"/>
              </w:rPr>
              <w:t>2.5</w:t>
            </w:r>
          </w:p>
        </w:tc>
      </w:tr>
      <w:tr>
        <w:trPr>
          <w:trHeight w:val="438" w:hRule="atLeast"/>
        </w:trPr>
        <w:tc>
          <w:tcPr>
            <w:tcW w:w="2365" w:type="dxa"/>
            <w:tcBorders>
              <w:top w:val="single" w:sz="4" w:space="0" w:color="000000"/>
              <w:left w:val="single" w:sz="4" w:space="0" w:color="000000"/>
              <w:bottom w:val="single" w:sz="4" w:space="0" w:color="000000"/>
              <w:right w:val="single" w:sz="4" w:space="0" w:color="000000"/>
            </w:tcBorders>
          </w:tcPr>
          <w:p>
            <w:pPr>
              <w:pStyle w:val="TableParagraph"/>
              <w:spacing w:before="28"/>
              <w:ind w:left="918" w:right="917"/>
              <w:jc w:val="center"/>
              <w:rPr>
                <w:sz w:val="24"/>
              </w:rPr>
            </w:pPr>
            <w:r>
              <w:rPr>
                <w:sz w:val="24"/>
              </w:rPr>
              <w:t>复评</w:t>
            </w:r>
          </w:p>
        </w:tc>
        <w:tc>
          <w:tcPr>
            <w:tcW w:w="1345" w:type="dxa"/>
            <w:tcBorders>
              <w:top w:val="single" w:sz="4" w:space="0" w:color="000000"/>
              <w:left w:val="single" w:sz="4" w:space="0" w:color="000000"/>
              <w:right w:val="single" w:sz="4" w:space="0" w:color="000000"/>
            </w:tcBorders>
          </w:tcPr>
          <w:p>
            <w:pPr>
              <w:pStyle w:val="TableParagraph"/>
              <w:spacing w:before="46"/>
              <w:ind w:left="6"/>
              <w:jc w:val="center"/>
              <w:rPr>
                <w:rFonts w:ascii="Arial"/>
                <w:sz w:val="24"/>
              </w:rPr>
            </w:pPr>
            <w:r>
              <w:rPr>
                <w:rFonts w:ascii="Arial"/>
                <w:w w:val="99"/>
                <w:sz w:val="24"/>
              </w:rPr>
              <w:t>2</w:t>
            </w:r>
          </w:p>
        </w:tc>
        <w:tc>
          <w:tcPr>
            <w:tcW w:w="1417" w:type="dxa"/>
            <w:tcBorders>
              <w:top w:val="single" w:sz="4" w:space="0" w:color="000000"/>
              <w:left w:val="single" w:sz="4" w:space="0" w:color="000000"/>
              <w:right w:val="single" w:sz="4" w:space="0" w:color="000000"/>
            </w:tcBorders>
          </w:tcPr>
          <w:p>
            <w:pPr>
              <w:pStyle w:val="TableParagraph"/>
              <w:spacing w:before="46"/>
              <w:jc w:val="center"/>
              <w:rPr>
                <w:rFonts w:ascii="Arial"/>
                <w:sz w:val="24"/>
              </w:rPr>
            </w:pPr>
            <w:r>
              <w:rPr>
                <w:rFonts w:ascii="Arial"/>
                <w:w w:val="99"/>
                <w:sz w:val="24"/>
              </w:rPr>
              <w:t>3</w:t>
            </w:r>
          </w:p>
        </w:tc>
        <w:tc>
          <w:tcPr>
            <w:tcW w:w="1439" w:type="dxa"/>
            <w:tcBorders>
              <w:top w:val="single" w:sz="4" w:space="0" w:color="000000"/>
              <w:left w:val="single" w:sz="4" w:space="0" w:color="000000"/>
            </w:tcBorders>
          </w:tcPr>
          <w:p>
            <w:pPr>
              <w:pStyle w:val="TableParagraph"/>
              <w:spacing w:before="46"/>
              <w:ind w:left="7"/>
              <w:jc w:val="center"/>
              <w:rPr>
                <w:rFonts w:ascii="Arial"/>
                <w:sz w:val="24"/>
              </w:rPr>
            </w:pPr>
            <w:r>
              <w:rPr>
                <w:rFonts w:ascii="Arial"/>
                <w:w w:val="99"/>
                <w:sz w:val="24"/>
              </w:rPr>
              <w:t>4</w:t>
            </w:r>
          </w:p>
        </w:tc>
      </w:tr>
    </w:tbl>
    <w:p>
      <w:pPr>
        <w:pStyle w:val="ListParagraph"/>
        <w:numPr>
          <w:ilvl w:val="2"/>
          <w:numId w:val="8"/>
        </w:numPr>
        <w:tabs>
          <w:tab w:pos="1205" w:val="left" w:leader="none"/>
          <w:tab w:pos="1206" w:val="left" w:leader="none"/>
        </w:tabs>
        <w:spacing w:line="240" w:lineRule="auto" w:before="6" w:after="0"/>
        <w:ind w:left="1205" w:right="0" w:hanging="905"/>
        <w:jc w:val="left"/>
        <w:rPr>
          <w:rFonts w:ascii="黑体" w:eastAsia="黑体" w:hint="eastAsia"/>
          <w:b/>
          <w:sz w:val="28"/>
        </w:rPr>
      </w:pPr>
      <w:r>
        <w:rPr>
          <w:rFonts w:ascii="黑体" w:eastAsia="黑体" w:hint="eastAsia"/>
          <w:b/>
          <w:sz w:val="28"/>
        </w:rPr>
        <w:t>多领域</w:t>
      </w:r>
    </w:p>
    <w:p>
      <w:pPr>
        <w:pStyle w:val="ListParagraph"/>
        <w:numPr>
          <w:ilvl w:val="3"/>
          <w:numId w:val="8"/>
        </w:numPr>
        <w:tabs>
          <w:tab w:pos="1131" w:val="left" w:leader="none"/>
        </w:tabs>
        <w:spacing w:line="304" w:lineRule="auto" w:before="96" w:after="0"/>
        <w:ind w:left="300" w:right="374" w:firstLine="0"/>
        <w:jc w:val="left"/>
        <w:rPr>
          <w:sz w:val="24"/>
        </w:rPr>
      </w:pPr>
      <w:r>
        <w:rPr>
          <w:spacing w:val="-1"/>
          <w:sz w:val="24"/>
        </w:rPr>
        <w:t>对于多领域结合评审，</w:t>
      </w:r>
      <w:r>
        <w:rPr>
          <w:rFonts w:ascii="Arial" w:eastAsia="Arial"/>
          <w:sz w:val="24"/>
        </w:rPr>
        <w:t>CNAS</w:t>
      </w:r>
      <w:r>
        <w:rPr>
          <w:rFonts w:ascii="Arial" w:eastAsia="Arial"/>
          <w:spacing w:val="26"/>
          <w:sz w:val="24"/>
        </w:rPr>
        <w:t> </w:t>
      </w:r>
      <w:r>
        <w:rPr>
          <w:spacing w:val="-1"/>
          <w:sz w:val="24"/>
        </w:rPr>
        <w:t>通常考虑以下因素，以确定评审工作量的减少</w:t>
      </w:r>
      <w:r>
        <w:rPr>
          <w:sz w:val="24"/>
        </w:rPr>
        <w:t>比例：</w:t>
      </w:r>
    </w:p>
    <w:p>
      <w:pPr>
        <w:pStyle w:val="ListParagraph"/>
        <w:numPr>
          <w:ilvl w:val="4"/>
          <w:numId w:val="8"/>
        </w:numPr>
        <w:tabs>
          <w:tab w:pos="1150" w:val="left" w:leader="none"/>
        </w:tabs>
        <w:spacing w:line="307" w:lineRule="exact" w:before="0" w:after="0"/>
        <w:ind w:left="1150" w:right="0" w:hanging="370"/>
        <w:jc w:val="left"/>
        <w:rPr>
          <w:sz w:val="24"/>
        </w:rPr>
      </w:pPr>
      <w:r>
        <w:rPr>
          <w:sz w:val="24"/>
        </w:rPr>
        <w:t>认证机构申请认可</w:t>
      </w:r>
      <w:r>
        <w:rPr>
          <w:rFonts w:ascii="Arial" w:eastAsia="Arial"/>
          <w:sz w:val="24"/>
        </w:rPr>
        <w:t>/</w:t>
      </w:r>
      <w:r>
        <w:rPr>
          <w:sz w:val="24"/>
        </w:rPr>
        <w:t>监督</w:t>
      </w:r>
      <w:r>
        <w:rPr>
          <w:rFonts w:ascii="Arial" w:eastAsia="Arial"/>
          <w:sz w:val="24"/>
        </w:rPr>
        <w:t>/</w:t>
      </w:r>
      <w:r>
        <w:rPr>
          <w:sz w:val="24"/>
        </w:rPr>
        <w:t>复评涉及的认可领域的数量；</w:t>
      </w:r>
    </w:p>
    <w:p>
      <w:pPr>
        <w:pStyle w:val="ListParagraph"/>
        <w:numPr>
          <w:ilvl w:val="4"/>
          <w:numId w:val="8"/>
        </w:numPr>
        <w:tabs>
          <w:tab w:pos="1150" w:val="left" w:leader="none"/>
        </w:tabs>
        <w:spacing w:line="240" w:lineRule="auto" w:before="81" w:after="0"/>
        <w:ind w:left="1150" w:right="0" w:hanging="370"/>
        <w:jc w:val="left"/>
        <w:rPr>
          <w:sz w:val="24"/>
        </w:rPr>
      </w:pPr>
      <w:r>
        <w:rPr>
          <w:sz w:val="24"/>
        </w:rPr>
        <w:t>认证机构不同领域管理体系的成熟度及机构对多个管理体系整合的程度；</w:t>
      </w:r>
    </w:p>
    <w:p>
      <w:pPr>
        <w:pStyle w:val="ListParagraph"/>
        <w:numPr>
          <w:ilvl w:val="4"/>
          <w:numId w:val="8"/>
        </w:numPr>
        <w:tabs>
          <w:tab w:pos="1150" w:val="left" w:leader="none"/>
        </w:tabs>
        <w:spacing w:line="240" w:lineRule="auto" w:before="82" w:after="0"/>
        <w:ind w:left="1150" w:right="0" w:hanging="370"/>
        <w:jc w:val="left"/>
        <w:rPr>
          <w:sz w:val="24"/>
        </w:rPr>
      </w:pPr>
      <w:r>
        <w:rPr>
          <w:sz w:val="24"/>
        </w:rPr>
        <w:t>认证机构不同领域认证活动的管理体系的共有要素可以结合评审的程度；</w:t>
      </w:r>
    </w:p>
    <w:p>
      <w:pPr>
        <w:pStyle w:val="ListParagraph"/>
        <w:numPr>
          <w:ilvl w:val="4"/>
          <w:numId w:val="8"/>
        </w:numPr>
        <w:tabs>
          <w:tab w:pos="1150" w:val="left" w:leader="none"/>
        </w:tabs>
        <w:spacing w:line="240" w:lineRule="auto" w:before="81" w:after="0"/>
        <w:ind w:left="1150" w:right="0" w:hanging="370"/>
        <w:jc w:val="left"/>
        <w:rPr>
          <w:sz w:val="24"/>
        </w:rPr>
      </w:pPr>
      <w:r>
        <w:rPr>
          <w:sz w:val="24"/>
        </w:rPr>
        <w:t>各认可领域审核资源的配置状况（各领域人员的专业能力和人员数量）；</w:t>
      </w:r>
    </w:p>
    <w:p>
      <w:pPr>
        <w:pStyle w:val="ListParagraph"/>
        <w:numPr>
          <w:ilvl w:val="4"/>
          <w:numId w:val="8"/>
        </w:numPr>
        <w:tabs>
          <w:tab w:pos="1150" w:val="left" w:leader="none"/>
        </w:tabs>
        <w:spacing w:line="240" w:lineRule="auto" w:before="81" w:after="0"/>
        <w:ind w:left="1150" w:right="0" w:hanging="370"/>
        <w:jc w:val="left"/>
        <w:rPr>
          <w:sz w:val="24"/>
        </w:rPr>
      </w:pPr>
      <w:r>
        <w:rPr>
          <w:sz w:val="24"/>
        </w:rPr>
        <w:t>不同认可领域已发证书数量；</w:t>
      </w:r>
    </w:p>
    <w:p>
      <w:pPr>
        <w:pStyle w:val="BodyText"/>
        <w:spacing w:before="82"/>
        <w:ind w:left="780"/>
      </w:pPr>
      <w:r>
        <w:rPr/>
        <w:t>综合上述因素，评审人日数可在单领域评审人日数之和的基础上减少至 </w:t>
      </w:r>
      <w:r>
        <w:rPr>
          <w:rFonts w:ascii="Arial" w:eastAsia="Arial"/>
        </w:rPr>
        <w:t>90%</w:t>
      </w:r>
      <w:r>
        <w:rPr/>
        <w:t>～</w:t>
      </w:r>
    </w:p>
    <w:p>
      <w:pPr>
        <w:pStyle w:val="BodyText"/>
        <w:spacing w:before="81"/>
        <w:ind w:left="300"/>
      </w:pPr>
      <w:r>
        <w:rPr>
          <w:rFonts w:ascii="Arial" w:eastAsia="Arial"/>
        </w:rPr>
        <w:t>60%</w:t>
      </w:r>
      <w:r>
        <w:rPr/>
        <w:t>。</w:t>
      </w:r>
    </w:p>
    <w:p>
      <w:pPr>
        <w:pStyle w:val="ListParagraph"/>
        <w:numPr>
          <w:ilvl w:val="3"/>
          <w:numId w:val="8"/>
        </w:numPr>
        <w:tabs>
          <w:tab w:pos="1098" w:val="left" w:leader="none"/>
        </w:tabs>
        <w:spacing w:line="240" w:lineRule="auto" w:before="81" w:after="0"/>
        <w:ind w:left="1097" w:right="0" w:hanging="797"/>
        <w:jc w:val="left"/>
        <w:rPr>
          <w:sz w:val="24"/>
        </w:rPr>
      </w:pPr>
      <w:r>
        <w:rPr>
          <w:spacing w:val="-1"/>
          <w:sz w:val="24"/>
        </w:rPr>
        <w:t>多领域结合评审中业务领域的人日数计算</w:t>
      </w:r>
    </w:p>
    <w:p>
      <w:pPr>
        <w:pStyle w:val="ListParagraph"/>
        <w:numPr>
          <w:ilvl w:val="0"/>
          <w:numId w:val="9"/>
        </w:numPr>
        <w:tabs>
          <w:tab w:pos="1144" w:val="left" w:leader="none"/>
        </w:tabs>
        <w:spacing w:line="304" w:lineRule="auto" w:before="82" w:after="0"/>
        <w:ind w:left="300" w:right="371" w:firstLine="468"/>
        <w:jc w:val="both"/>
        <w:rPr>
          <w:sz w:val="24"/>
        </w:rPr>
      </w:pPr>
      <w:r>
        <w:rPr>
          <w:spacing w:val="-10"/>
          <w:sz w:val="24"/>
        </w:rPr>
        <w:t>业务领域初评</w:t>
      </w:r>
      <w:r>
        <w:rPr>
          <w:sz w:val="24"/>
        </w:rPr>
        <w:t>（</w:t>
      </w:r>
      <w:r>
        <w:rPr>
          <w:spacing w:val="-18"/>
          <w:sz w:val="24"/>
        </w:rPr>
        <w:t>例如：已具备 </w:t>
      </w:r>
      <w:r>
        <w:rPr>
          <w:rFonts w:ascii="Arial" w:eastAsia="Arial"/>
          <w:sz w:val="24"/>
        </w:rPr>
        <w:t>ISO9001</w:t>
      </w:r>
      <w:r>
        <w:rPr>
          <w:rFonts w:ascii="Arial" w:eastAsia="Arial"/>
          <w:spacing w:val="1"/>
          <w:sz w:val="24"/>
        </w:rPr>
        <w:t> </w:t>
      </w:r>
      <w:r>
        <w:rPr>
          <w:spacing w:val="-9"/>
          <w:sz w:val="24"/>
        </w:rPr>
        <w:t>认证机构认可资格，增加认可</w:t>
      </w:r>
      <w:r>
        <w:rPr>
          <w:rFonts w:ascii="Arial" w:eastAsia="Arial"/>
          <w:spacing w:val="-9"/>
          <w:sz w:val="24"/>
        </w:rPr>
        <w:t>TL9000</w:t>
      </w:r>
      <w:r>
        <w:rPr>
          <w:spacing w:val="-9"/>
          <w:sz w:val="24"/>
        </w:rPr>
        <w:t>等业务领域）</w:t>
      </w:r>
      <w:r>
        <w:rPr>
          <w:spacing w:val="-14"/>
          <w:sz w:val="24"/>
        </w:rPr>
        <w:t>，在按照本附件表 </w:t>
      </w:r>
      <w:r>
        <w:rPr>
          <w:rFonts w:ascii="Arial" w:eastAsia="Arial"/>
          <w:sz w:val="24"/>
        </w:rPr>
        <w:t>1</w:t>
      </w:r>
      <w:r>
        <w:rPr>
          <w:rFonts w:ascii="Arial" w:eastAsia="Arial"/>
          <w:spacing w:val="5"/>
          <w:sz w:val="24"/>
        </w:rPr>
        <w:t> </w:t>
      </w:r>
      <w:r>
        <w:rPr>
          <w:spacing w:val="-16"/>
          <w:sz w:val="24"/>
        </w:rPr>
        <w:t>和表 </w:t>
      </w:r>
      <w:r>
        <w:rPr>
          <w:rFonts w:ascii="Arial" w:eastAsia="Arial"/>
          <w:sz w:val="24"/>
        </w:rPr>
        <w:t>2</w:t>
      </w:r>
      <w:r>
        <w:rPr>
          <w:rFonts w:ascii="Arial" w:eastAsia="Arial"/>
          <w:spacing w:val="5"/>
          <w:sz w:val="24"/>
        </w:rPr>
        <w:t> </w:t>
      </w:r>
      <w:r>
        <w:rPr>
          <w:sz w:val="24"/>
        </w:rPr>
        <w:t>之和计算出的人日数基础上减少至 </w:t>
      </w:r>
      <w:r>
        <w:rPr>
          <w:rFonts w:ascii="Arial" w:eastAsia="Arial"/>
          <w:spacing w:val="-5"/>
          <w:sz w:val="24"/>
        </w:rPr>
        <w:t>90%</w:t>
      </w:r>
      <w:r>
        <w:rPr>
          <w:spacing w:val="-5"/>
          <w:sz w:val="24"/>
        </w:rPr>
        <w:t>～</w:t>
      </w:r>
      <w:r>
        <w:rPr>
          <w:spacing w:val="-48"/>
          <w:sz w:val="24"/>
        </w:rPr>
        <w:t> </w:t>
      </w:r>
      <w:r>
        <w:rPr>
          <w:rFonts w:ascii="Arial" w:eastAsia="Arial"/>
          <w:sz w:val="24"/>
        </w:rPr>
        <w:t>60%</w:t>
      </w:r>
      <w:r>
        <w:rPr>
          <w:sz w:val="24"/>
        </w:rPr>
        <w:t>；</w:t>
      </w:r>
    </w:p>
    <w:p>
      <w:pPr>
        <w:pStyle w:val="ListParagraph"/>
        <w:numPr>
          <w:ilvl w:val="0"/>
          <w:numId w:val="9"/>
        </w:numPr>
        <w:tabs>
          <w:tab w:pos="1144" w:val="left" w:leader="none"/>
        </w:tabs>
        <w:spacing w:line="302" w:lineRule="auto" w:before="0" w:after="0"/>
        <w:ind w:left="300" w:right="251" w:firstLine="468"/>
        <w:jc w:val="left"/>
        <w:rPr>
          <w:sz w:val="24"/>
        </w:rPr>
      </w:pPr>
      <w:r>
        <w:rPr>
          <w:sz w:val="24"/>
        </w:rPr>
        <w:t>业务领域监督或复评，考虑机构在该业务领域的总颁证数量、获认可的业务</w:t>
      </w:r>
      <w:r>
        <w:rPr>
          <w:spacing w:val="-7"/>
          <w:sz w:val="24"/>
        </w:rPr>
        <w:t>范围数量与复杂程度以及认证机构管理体系的成熟度等因素，直接按 </w:t>
      </w:r>
      <w:r>
        <w:rPr>
          <w:rFonts w:ascii="Arial" w:eastAsia="Arial"/>
          <w:sz w:val="24"/>
        </w:rPr>
        <w:t>1</w:t>
      </w:r>
      <w:r>
        <w:rPr>
          <w:sz w:val="24"/>
        </w:rPr>
        <w:t>～</w:t>
      </w:r>
      <w:r>
        <w:rPr>
          <w:rFonts w:ascii="Arial" w:eastAsia="Arial"/>
          <w:sz w:val="24"/>
        </w:rPr>
        <w:t>2</w:t>
      </w:r>
      <w:r>
        <w:rPr>
          <w:rFonts w:ascii="Arial" w:eastAsia="Arial"/>
          <w:spacing w:val="-6"/>
          <w:sz w:val="24"/>
        </w:rPr>
        <w:t> </w:t>
      </w:r>
      <w:r>
        <w:rPr>
          <w:spacing w:val="-4"/>
          <w:sz w:val="24"/>
        </w:rPr>
        <w:t>人日计算， </w:t>
      </w:r>
      <w:r>
        <w:rPr>
          <w:sz w:val="24"/>
        </w:rPr>
        <w:t>不再减少。</w:t>
      </w:r>
    </w:p>
    <w:p>
      <w:pPr>
        <w:pStyle w:val="Heading3"/>
        <w:numPr>
          <w:ilvl w:val="1"/>
          <w:numId w:val="8"/>
        </w:numPr>
        <w:tabs>
          <w:tab w:pos="759" w:val="left" w:leader="none"/>
        </w:tabs>
        <w:spacing w:line="240" w:lineRule="auto" w:before="0" w:after="0"/>
        <w:ind w:left="758" w:right="0" w:hanging="458"/>
        <w:jc w:val="left"/>
        <w:rPr>
          <w:rFonts w:ascii="Arial" w:eastAsia="Arial"/>
        </w:rPr>
      </w:pPr>
      <w:r>
        <w:rPr/>
        <w:t>多场所认证机构</w:t>
      </w:r>
    </w:p>
    <w:p>
      <w:pPr>
        <w:pStyle w:val="ListParagraph"/>
        <w:numPr>
          <w:ilvl w:val="2"/>
          <w:numId w:val="10"/>
        </w:numPr>
        <w:tabs>
          <w:tab w:pos="994" w:val="left" w:leader="none"/>
        </w:tabs>
        <w:spacing w:line="240" w:lineRule="auto" w:before="94" w:after="0"/>
        <w:ind w:left="994" w:right="0" w:hanging="694"/>
        <w:jc w:val="left"/>
        <w:rPr>
          <w:rFonts w:ascii="Arial" w:eastAsia="Arial"/>
          <w:b/>
          <w:sz w:val="28"/>
        </w:rPr>
      </w:pPr>
      <w:r>
        <w:rPr>
          <w:rFonts w:ascii="黑体" w:eastAsia="黑体" w:hint="eastAsia"/>
          <w:b/>
          <w:sz w:val="28"/>
        </w:rPr>
        <w:t>总部</w:t>
      </w:r>
    </w:p>
    <w:p>
      <w:pPr>
        <w:pStyle w:val="BodyText"/>
        <w:spacing w:before="97"/>
        <w:ind w:left="780"/>
      </w:pPr>
      <w:r>
        <w:rPr/>
        <w:t>对总部的现场评审人日数按照本附件 </w:t>
      </w:r>
      <w:r>
        <w:rPr>
          <w:rFonts w:ascii="Arial" w:eastAsia="Arial"/>
        </w:rPr>
        <w:t>2.1 </w:t>
      </w:r>
      <w:r>
        <w:rPr/>
        <w:t>计算。</w:t>
      </w:r>
    </w:p>
    <w:p>
      <w:pPr>
        <w:pStyle w:val="Heading3"/>
        <w:numPr>
          <w:ilvl w:val="2"/>
          <w:numId w:val="10"/>
        </w:numPr>
        <w:tabs>
          <w:tab w:pos="1205" w:val="left" w:leader="none"/>
          <w:tab w:pos="1206" w:val="left" w:leader="none"/>
        </w:tabs>
        <w:spacing w:line="240" w:lineRule="auto" w:before="83" w:after="0"/>
        <w:ind w:left="1205" w:right="0" w:hanging="905"/>
        <w:jc w:val="left"/>
        <w:rPr>
          <w:rFonts w:ascii="Arial" w:eastAsia="Arial"/>
        </w:rPr>
      </w:pPr>
      <w:r>
        <w:rPr/>
        <w:t>关键场所</w:t>
      </w:r>
    </w:p>
    <w:p>
      <w:pPr>
        <w:pStyle w:val="Heading4"/>
        <w:numPr>
          <w:ilvl w:val="3"/>
          <w:numId w:val="10"/>
        </w:numPr>
        <w:tabs>
          <w:tab w:pos="1227" w:val="left" w:leader="none"/>
        </w:tabs>
        <w:spacing w:line="240" w:lineRule="auto" w:before="94" w:after="0"/>
        <w:ind w:left="1226" w:right="0" w:hanging="926"/>
        <w:jc w:val="left"/>
        <w:rPr>
          <w:rFonts w:ascii="Arial" w:eastAsia="Arial"/>
        </w:rPr>
      </w:pPr>
      <w:r>
        <w:rPr/>
        <w:t>单领域</w:t>
      </w:r>
    </w:p>
    <w:p>
      <w:pPr>
        <w:pStyle w:val="BodyText"/>
        <w:spacing w:line="302" w:lineRule="auto" w:before="97"/>
        <w:ind w:left="300" w:right="371" w:firstLine="479"/>
        <w:jc w:val="both"/>
      </w:pPr>
      <w:r>
        <w:rPr>
          <w:spacing w:val="-3"/>
        </w:rPr>
        <w:t>单领域关键场所的现场评审人日数核算见表 </w:t>
      </w:r>
      <w:r>
        <w:rPr>
          <w:rFonts w:ascii="Arial" w:eastAsia="Arial"/>
          <w:spacing w:val="-23"/>
        </w:rPr>
        <w:t>4</w:t>
      </w:r>
      <w:r>
        <w:rPr>
          <w:spacing w:val="-6"/>
        </w:rPr>
        <w:t>，该评审人日数包括管理体系评审</w:t>
      </w:r>
      <w:r>
        <w:rPr>
          <w:spacing w:val="-8"/>
        </w:rPr>
        <w:t>和认证业务范围能力确认两部分。考虑各关键场所履行关键活动的具体情况以及发证</w:t>
      </w:r>
      <w:r>
        <w:rPr>
          <w:spacing w:val="-6"/>
        </w:rPr>
        <w:t>数量的多少，可在表 </w:t>
      </w:r>
      <w:r>
        <w:rPr/>
        <w:t>4</w:t>
      </w:r>
      <w:r>
        <w:rPr>
          <w:spacing w:val="-8"/>
        </w:rPr>
        <w:t> 所确定人日数的基础上适当增减。</w:t>
      </w:r>
    </w:p>
    <w:p>
      <w:pPr>
        <w:pStyle w:val="BodyText"/>
        <w:spacing w:before="4"/>
        <w:ind w:left="300"/>
      </w:pPr>
      <w:r>
        <w:rPr/>
        <w:pict>
          <v:line style="position:absolute;mso-position-horizontal-relative:page;mso-position-vertical-relative:paragraph;z-index:-47416" from="134.779999pt,20.479992pt" to="243.289999pt,66.939992pt" stroked="true" strokeweight=".48pt" strokecolor="#000000">
            <v:stroke dashstyle="solid"/>
            <w10:wrap type="none"/>
          </v:line>
        </w:pict>
      </w:r>
      <w:r>
        <w:rPr/>
        <w:t>表 </w:t>
      </w:r>
      <w:r>
        <w:rPr>
          <w:rFonts w:ascii="Arial" w:eastAsia="Arial"/>
        </w:rPr>
        <w:t>4</w:t>
      </w:r>
      <w:r>
        <w:rPr/>
        <w:t>：</w:t>
      </w:r>
    </w:p>
    <w:p>
      <w:pPr>
        <w:pStyle w:val="BodyText"/>
        <w:spacing w:before="2"/>
        <w:rPr>
          <w:sz w:val="6"/>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0"/>
        <w:gridCol w:w="1469"/>
        <w:gridCol w:w="1440"/>
        <w:gridCol w:w="1441"/>
      </w:tblGrid>
      <w:tr>
        <w:trPr>
          <w:trHeight w:val="928" w:hRule="atLeast"/>
        </w:trPr>
        <w:tc>
          <w:tcPr>
            <w:tcW w:w="2180" w:type="dxa"/>
            <w:tcBorders>
              <w:left w:val="single" w:sz="4" w:space="0" w:color="000000"/>
              <w:bottom w:val="single" w:sz="4" w:space="0" w:color="000000"/>
              <w:right w:val="single" w:sz="4" w:space="0" w:color="000000"/>
            </w:tcBorders>
          </w:tcPr>
          <w:p>
            <w:pPr>
              <w:pStyle w:val="TableParagraph"/>
              <w:spacing w:line="304" w:lineRule="auto" w:before="4"/>
              <w:ind w:left="1375" w:right="41" w:hanging="236"/>
              <w:rPr>
                <w:sz w:val="24"/>
              </w:rPr>
            </w:pPr>
            <w:r>
              <w:rPr>
                <w:sz w:val="24"/>
              </w:rPr>
              <w:t>关键场所总人数</w:t>
            </w:r>
          </w:p>
        </w:tc>
        <w:tc>
          <w:tcPr>
            <w:tcW w:w="1469" w:type="dxa"/>
            <w:tcBorders>
              <w:left w:val="single" w:sz="4" w:space="0" w:color="000000"/>
              <w:right w:val="single" w:sz="4" w:space="0" w:color="000000"/>
            </w:tcBorders>
          </w:tcPr>
          <w:p>
            <w:pPr>
              <w:pStyle w:val="TableParagraph"/>
              <w:spacing w:before="6"/>
              <w:rPr>
                <w:sz w:val="22"/>
              </w:rPr>
            </w:pPr>
          </w:p>
          <w:p>
            <w:pPr>
              <w:pStyle w:val="TableParagraph"/>
              <w:ind w:left="465"/>
              <w:rPr>
                <w:rFonts w:ascii="Arial" w:hAnsi="Arial"/>
                <w:sz w:val="24"/>
              </w:rPr>
            </w:pPr>
            <w:r>
              <w:rPr>
                <w:rFonts w:ascii="Arial" w:hAnsi="Arial"/>
                <w:sz w:val="24"/>
              </w:rPr>
              <w:t>≤100</w:t>
            </w:r>
          </w:p>
        </w:tc>
        <w:tc>
          <w:tcPr>
            <w:tcW w:w="1440" w:type="dxa"/>
            <w:tcBorders>
              <w:left w:val="single" w:sz="4" w:space="0" w:color="000000"/>
              <w:right w:val="single" w:sz="4" w:space="0" w:color="000000"/>
            </w:tcBorders>
          </w:tcPr>
          <w:p>
            <w:pPr>
              <w:pStyle w:val="TableParagraph"/>
              <w:spacing w:before="6"/>
              <w:rPr>
                <w:sz w:val="22"/>
              </w:rPr>
            </w:pPr>
          </w:p>
          <w:p>
            <w:pPr>
              <w:pStyle w:val="TableParagraph"/>
              <w:ind w:left="278"/>
              <w:rPr>
                <w:rFonts w:ascii="Arial"/>
                <w:sz w:val="24"/>
              </w:rPr>
            </w:pPr>
            <w:r>
              <w:rPr>
                <w:rFonts w:ascii="Arial"/>
                <w:sz w:val="24"/>
              </w:rPr>
              <w:t>101-200</w:t>
            </w:r>
          </w:p>
        </w:tc>
        <w:tc>
          <w:tcPr>
            <w:tcW w:w="1441" w:type="dxa"/>
            <w:tcBorders>
              <w:left w:val="single" w:sz="4" w:space="0" w:color="000000"/>
            </w:tcBorders>
          </w:tcPr>
          <w:p>
            <w:pPr>
              <w:pStyle w:val="TableParagraph"/>
              <w:spacing w:before="6"/>
              <w:rPr>
                <w:sz w:val="22"/>
              </w:rPr>
            </w:pPr>
          </w:p>
          <w:p>
            <w:pPr>
              <w:pStyle w:val="TableParagraph"/>
              <w:ind w:left="448"/>
              <w:rPr>
                <w:rFonts w:ascii="Arial"/>
                <w:sz w:val="24"/>
              </w:rPr>
            </w:pPr>
            <w:r>
              <w:rPr>
                <w:rFonts w:ascii="Arial"/>
                <w:sz w:val="24"/>
              </w:rPr>
              <w:t>&gt;200</w:t>
            </w:r>
          </w:p>
        </w:tc>
      </w:tr>
    </w:tbl>
    <w:p>
      <w:pPr>
        <w:spacing w:after="0"/>
        <w:rPr>
          <w:rFonts w:ascii="Arial"/>
          <w:sz w:val="24"/>
        </w:rPr>
        <w:sectPr>
          <w:pgSz w:w="11910" w:h="16850"/>
          <w:pgMar w:header="876" w:footer="985" w:top="1340" w:bottom="1180" w:left="1260" w:right="1180"/>
        </w:sectPr>
      </w:pPr>
    </w:p>
    <w:p>
      <w:pPr>
        <w:pStyle w:val="BodyText"/>
        <w:rPr>
          <w:sz w:val="5"/>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0"/>
        <w:gridCol w:w="1469"/>
        <w:gridCol w:w="1440"/>
        <w:gridCol w:w="1441"/>
      </w:tblGrid>
      <w:tr>
        <w:trPr>
          <w:trHeight w:val="926" w:hRule="atLeast"/>
        </w:trPr>
        <w:tc>
          <w:tcPr>
            <w:tcW w:w="2180" w:type="dxa"/>
            <w:tcBorders>
              <w:left w:val="single" w:sz="4" w:space="0" w:color="000000"/>
              <w:bottom w:val="single" w:sz="4" w:space="0" w:color="000000"/>
              <w:right w:val="single" w:sz="4" w:space="0" w:color="000000"/>
            </w:tcBorders>
          </w:tcPr>
          <w:p>
            <w:pPr>
              <w:pStyle w:val="TableParagraph"/>
              <w:spacing w:before="2"/>
              <w:ind w:left="330"/>
              <w:rPr>
                <w:sz w:val="24"/>
              </w:rPr>
            </w:pPr>
            <w:r>
              <w:rPr>
                <w:sz w:val="24"/>
              </w:rPr>
              <w:t>评审类型</w:t>
            </w:r>
          </w:p>
        </w:tc>
        <w:tc>
          <w:tcPr>
            <w:tcW w:w="1469"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1440"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1441" w:type="dxa"/>
            <w:tcBorders>
              <w:left w:val="single" w:sz="4" w:space="0" w:color="000000"/>
              <w:bottom w:val="single" w:sz="4" w:space="0" w:color="000000"/>
            </w:tcBorders>
          </w:tcPr>
          <w:p>
            <w:pPr>
              <w:pStyle w:val="TableParagraph"/>
              <w:rPr>
                <w:rFonts w:ascii="Times New Roman"/>
                <w:sz w:val="22"/>
              </w:rPr>
            </w:pPr>
          </w:p>
        </w:tc>
      </w:tr>
      <w:tr>
        <w:trPr>
          <w:trHeight w:val="446"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31"/>
              <w:ind w:right="842"/>
              <w:jc w:val="right"/>
              <w:rPr>
                <w:sz w:val="24"/>
              </w:rPr>
            </w:pPr>
            <w:r>
              <w:rPr>
                <w:sz w:val="24"/>
              </w:rPr>
              <w:t>初评</w:t>
            </w: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4</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6"/>
              <w:ind w:left="8"/>
              <w:jc w:val="center"/>
              <w:rPr>
                <w:rFonts w:ascii="Arial"/>
                <w:sz w:val="24"/>
              </w:rPr>
            </w:pPr>
            <w:r>
              <w:rPr>
                <w:rFonts w:ascii="Arial"/>
                <w:w w:val="99"/>
                <w:sz w:val="24"/>
              </w:rPr>
              <w:t>5</w:t>
            </w:r>
          </w:p>
        </w:tc>
        <w:tc>
          <w:tcPr>
            <w:tcW w:w="1441" w:type="dxa"/>
            <w:tcBorders>
              <w:top w:val="single" w:sz="4" w:space="0" w:color="000000"/>
              <w:left w:val="single" w:sz="4" w:space="0" w:color="000000"/>
              <w:bottom w:val="single" w:sz="4" w:space="0" w:color="000000"/>
            </w:tcBorders>
          </w:tcPr>
          <w:p>
            <w:pPr>
              <w:pStyle w:val="TableParagraph"/>
              <w:spacing w:before="46"/>
              <w:ind w:left="12"/>
              <w:jc w:val="center"/>
              <w:rPr>
                <w:rFonts w:ascii="Arial"/>
                <w:sz w:val="24"/>
              </w:rPr>
            </w:pPr>
            <w:r>
              <w:rPr>
                <w:rFonts w:ascii="Arial"/>
                <w:w w:val="99"/>
                <w:sz w:val="24"/>
              </w:rPr>
              <w:t>6</w:t>
            </w:r>
          </w:p>
        </w:tc>
      </w:tr>
      <w:tr>
        <w:trPr>
          <w:trHeight w:val="443"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28"/>
              <w:ind w:right="842"/>
              <w:jc w:val="right"/>
              <w:rPr>
                <w:sz w:val="24"/>
              </w:rPr>
            </w:pPr>
            <w:r>
              <w:rPr>
                <w:sz w:val="24"/>
              </w:rPr>
              <w:t>复评</w:t>
            </w: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43"/>
              <w:ind w:left="3"/>
              <w:jc w:val="center"/>
              <w:rPr>
                <w:rFonts w:ascii="Arial"/>
                <w:sz w:val="24"/>
              </w:rPr>
            </w:pPr>
            <w:r>
              <w:rPr>
                <w:rFonts w:ascii="Arial"/>
                <w:w w:val="99"/>
                <w:sz w:val="24"/>
              </w:rPr>
              <w:t>3</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3"/>
              <w:ind w:left="8"/>
              <w:jc w:val="center"/>
              <w:rPr>
                <w:rFonts w:ascii="Arial"/>
                <w:sz w:val="24"/>
              </w:rPr>
            </w:pPr>
            <w:r>
              <w:rPr>
                <w:rFonts w:ascii="Arial"/>
                <w:w w:val="99"/>
                <w:sz w:val="24"/>
              </w:rPr>
              <w:t>4</w:t>
            </w:r>
          </w:p>
        </w:tc>
        <w:tc>
          <w:tcPr>
            <w:tcW w:w="1441" w:type="dxa"/>
            <w:tcBorders>
              <w:top w:val="single" w:sz="4" w:space="0" w:color="000000"/>
              <w:left w:val="single" w:sz="4" w:space="0" w:color="000000"/>
              <w:bottom w:val="single" w:sz="4" w:space="0" w:color="000000"/>
            </w:tcBorders>
          </w:tcPr>
          <w:p>
            <w:pPr>
              <w:pStyle w:val="TableParagraph"/>
              <w:spacing w:before="43"/>
              <w:ind w:left="12"/>
              <w:jc w:val="center"/>
              <w:rPr>
                <w:rFonts w:ascii="Arial"/>
                <w:sz w:val="24"/>
              </w:rPr>
            </w:pPr>
            <w:r>
              <w:rPr>
                <w:rFonts w:ascii="Arial"/>
                <w:w w:val="99"/>
                <w:sz w:val="24"/>
              </w:rPr>
              <w:t>5</w:t>
            </w:r>
          </w:p>
        </w:tc>
      </w:tr>
      <w:tr>
        <w:trPr>
          <w:trHeight w:val="443" w:hRule="atLeast"/>
        </w:trPr>
        <w:tc>
          <w:tcPr>
            <w:tcW w:w="2180" w:type="dxa"/>
            <w:tcBorders>
              <w:top w:val="single" w:sz="4" w:space="0" w:color="000000"/>
              <w:left w:val="single" w:sz="4" w:space="0" w:color="000000"/>
              <w:right w:val="single" w:sz="4" w:space="0" w:color="000000"/>
            </w:tcBorders>
          </w:tcPr>
          <w:p>
            <w:pPr>
              <w:pStyle w:val="TableParagraph"/>
              <w:spacing w:before="28"/>
              <w:ind w:right="842"/>
              <w:jc w:val="right"/>
              <w:rPr>
                <w:sz w:val="24"/>
              </w:rPr>
            </w:pPr>
            <w:r>
              <w:rPr>
                <w:sz w:val="24"/>
              </w:rPr>
              <w:t>监督</w:t>
            </w:r>
          </w:p>
        </w:tc>
        <w:tc>
          <w:tcPr>
            <w:tcW w:w="1469" w:type="dxa"/>
            <w:tcBorders>
              <w:top w:val="single" w:sz="4" w:space="0" w:color="000000"/>
              <w:left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2</w:t>
            </w:r>
          </w:p>
        </w:tc>
        <w:tc>
          <w:tcPr>
            <w:tcW w:w="1440" w:type="dxa"/>
            <w:tcBorders>
              <w:top w:val="single" w:sz="4" w:space="0" w:color="000000"/>
              <w:left w:val="single" w:sz="4" w:space="0" w:color="000000"/>
              <w:right w:val="single" w:sz="4" w:space="0" w:color="000000"/>
            </w:tcBorders>
          </w:tcPr>
          <w:p>
            <w:pPr>
              <w:pStyle w:val="TableParagraph"/>
              <w:spacing w:before="46"/>
              <w:ind w:left="8"/>
              <w:jc w:val="center"/>
              <w:rPr>
                <w:rFonts w:ascii="Arial"/>
                <w:sz w:val="24"/>
              </w:rPr>
            </w:pPr>
            <w:r>
              <w:rPr>
                <w:rFonts w:ascii="Arial"/>
                <w:w w:val="99"/>
                <w:sz w:val="24"/>
              </w:rPr>
              <w:t>3</w:t>
            </w:r>
          </w:p>
        </w:tc>
        <w:tc>
          <w:tcPr>
            <w:tcW w:w="1441" w:type="dxa"/>
            <w:tcBorders>
              <w:top w:val="single" w:sz="4" w:space="0" w:color="000000"/>
              <w:left w:val="single" w:sz="4" w:space="0" w:color="000000"/>
            </w:tcBorders>
          </w:tcPr>
          <w:p>
            <w:pPr>
              <w:pStyle w:val="TableParagraph"/>
              <w:spacing w:before="46"/>
              <w:ind w:left="12"/>
              <w:jc w:val="center"/>
              <w:rPr>
                <w:rFonts w:ascii="Arial"/>
                <w:sz w:val="24"/>
              </w:rPr>
            </w:pPr>
            <w:r>
              <w:rPr>
                <w:rFonts w:ascii="Arial"/>
                <w:w w:val="99"/>
                <w:sz w:val="24"/>
              </w:rPr>
              <w:t>4</w:t>
            </w:r>
          </w:p>
        </w:tc>
      </w:tr>
    </w:tbl>
    <w:p>
      <w:pPr>
        <w:pStyle w:val="BodyText"/>
        <w:spacing w:before="3"/>
        <w:ind w:left="1226"/>
        <w:rPr>
          <w:rFonts w:ascii="仿宋" w:eastAsia="仿宋" w:hint="eastAsia"/>
        </w:rPr>
      </w:pPr>
      <w:r>
        <w:rPr/>
        <w:pict>
          <v:line style="position:absolute;mso-position-horizontal-relative:page;mso-position-vertical-relative:paragraph;z-index:-47392" from="134.779999pt,-115.429985pt" to="243.289999pt,-69.089985pt" stroked="true" strokeweight=".48pt" strokecolor="#000000">
            <v:stroke dashstyle="solid"/>
            <w10:wrap type="none"/>
          </v:line>
        </w:pict>
      </w:r>
      <w:r>
        <w:rPr>
          <w:rFonts w:ascii="仿宋" w:eastAsia="仿宋" w:hint="eastAsia"/>
        </w:rPr>
        <w:t>注：上述关键场所总人数包括认证机构聘用的专职人员和兼职人员。</w:t>
      </w:r>
    </w:p>
    <w:p>
      <w:pPr>
        <w:pStyle w:val="ListParagraph"/>
        <w:numPr>
          <w:ilvl w:val="3"/>
          <w:numId w:val="10"/>
        </w:numPr>
        <w:tabs>
          <w:tab w:pos="1294" w:val="left" w:leader="none"/>
        </w:tabs>
        <w:spacing w:line="240" w:lineRule="auto" w:before="76" w:after="0"/>
        <w:ind w:left="1294" w:right="0" w:hanging="994"/>
        <w:jc w:val="left"/>
        <w:rPr>
          <w:rFonts w:ascii="Arial" w:eastAsia="Arial"/>
          <w:sz w:val="30"/>
        </w:rPr>
      </w:pPr>
      <w:r>
        <w:rPr>
          <w:rFonts w:ascii="黑体" w:eastAsia="黑体" w:hint="eastAsia"/>
          <w:sz w:val="30"/>
        </w:rPr>
        <w:t>多领域</w:t>
      </w:r>
    </w:p>
    <w:p>
      <w:pPr>
        <w:pStyle w:val="BodyText"/>
        <w:spacing w:line="304" w:lineRule="auto" w:before="108"/>
        <w:ind w:left="300" w:right="312" w:firstLine="479"/>
      </w:pPr>
      <w:r>
        <w:rPr/>
        <w:t>多领域关键场所的现场评审人日数，参照本附件 </w:t>
      </w:r>
      <w:r>
        <w:rPr>
          <w:rFonts w:ascii="Arial" w:eastAsia="Arial"/>
        </w:rPr>
        <w:t>2.1.2.1 </w:t>
      </w:r>
      <w:r>
        <w:rPr/>
        <w:t>所述的方法计算。包含业务领域时，根据具体情况适当调整。</w:t>
      </w:r>
    </w:p>
    <w:p>
      <w:pPr>
        <w:pStyle w:val="Heading2"/>
        <w:numPr>
          <w:ilvl w:val="2"/>
          <w:numId w:val="10"/>
        </w:numPr>
        <w:tabs>
          <w:tab w:pos="1042" w:val="left" w:leader="none"/>
        </w:tabs>
        <w:spacing w:line="377" w:lineRule="exact" w:before="0" w:after="0"/>
        <w:ind w:left="1042" w:right="0" w:hanging="742"/>
        <w:jc w:val="left"/>
        <w:rPr>
          <w:rFonts w:ascii="Arial" w:eastAsia="Arial"/>
        </w:rPr>
      </w:pPr>
      <w:r>
        <w:rPr/>
        <w:t>一般场所</w:t>
      </w:r>
    </w:p>
    <w:p>
      <w:pPr>
        <w:pStyle w:val="BodyText"/>
        <w:spacing w:before="107"/>
        <w:ind w:left="780"/>
      </w:pPr>
      <w:r>
        <w:rPr/>
        <w:t>对机构一般场所的现场评审通常安排 </w:t>
      </w:r>
      <w:r>
        <w:rPr>
          <w:rFonts w:ascii="Arial" w:eastAsia="Arial"/>
        </w:rPr>
        <w:t>0.5-1 </w:t>
      </w:r>
      <w:r>
        <w:rPr/>
        <w:t>人日。</w:t>
      </w:r>
    </w:p>
    <w:p>
      <w:pPr>
        <w:pStyle w:val="Heading2"/>
        <w:numPr>
          <w:ilvl w:val="0"/>
          <w:numId w:val="8"/>
        </w:numPr>
        <w:tabs>
          <w:tab w:pos="768" w:val="left" w:leader="none"/>
          <w:tab w:pos="769" w:val="left" w:leader="none"/>
        </w:tabs>
        <w:spacing w:line="240" w:lineRule="auto" w:before="77" w:after="0"/>
        <w:ind w:left="768" w:right="0" w:hanging="468"/>
        <w:jc w:val="left"/>
        <w:rPr>
          <w:rFonts w:ascii="Arial" w:eastAsia="Arial"/>
        </w:rPr>
      </w:pPr>
      <w:r>
        <w:rPr/>
        <w:t>见证评审</w:t>
      </w:r>
    </w:p>
    <w:p>
      <w:pPr>
        <w:pStyle w:val="BodyText"/>
        <w:spacing w:before="107"/>
        <w:ind w:left="780"/>
      </w:pPr>
      <w:r>
        <w:rPr/>
        <w:t>对认证机构实施的见证评审，根据实际发生的评审人日数计算。</w:t>
      </w:r>
    </w:p>
    <w:p>
      <w:pPr>
        <w:pStyle w:val="Heading2"/>
        <w:numPr>
          <w:ilvl w:val="0"/>
          <w:numId w:val="8"/>
        </w:numPr>
        <w:tabs>
          <w:tab w:pos="768" w:val="left" w:leader="none"/>
          <w:tab w:pos="769" w:val="left" w:leader="none"/>
        </w:tabs>
        <w:spacing w:line="240" w:lineRule="auto" w:before="77" w:after="0"/>
        <w:ind w:left="768" w:right="0" w:hanging="468"/>
        <w:jc w:val="left"/>
        <w:rPr>
          <w:rFonts w:ascii="Arial" w:eastAsia="Arial"/>
        </w:rPr>
      </w:pPr>
      <w:r>
        <w:rPr/>
        <w:t>不符合项验证</w:t>
      </w:r>
    </w:p>
    <w:p>
      <w:pPr>
        <w:pStyle w:val="BodyText"/>
        <w:spacing w:line="304" w:lineRule="auto" w:before="105"/>
        <w:ind w:left="300" w:right="305" w:firstLine="479"/>
      </w:pPr>
      <w:r>
        <w:rPr/>
        <w:t>单领域不符合项验证的工作量按 </w:t>
      </w:r>
      <w:r>
        <w:rPr>
          <w:rFonts w:ascii="Arial" w:eastAsia="Arial"/>
        </w:rPr>
        <w:t>1</w:t>
      </w:r>
      <w:r>
        <w:rPr/>
        <w:t>～</w:t>
      </w:r>
      <w:r>
        <w:rPr>
          <w:rFonts w:ascii="Arial" w:eastAsia="Arial"/>
        </w:rPr>
        <w:t>2 </w:t>
      </w:r>
      <w:r>
        <w:rPr/>
        <w:t>个人日计算。多领域不符合验证工作量视情况适当增加人日数。</w:t>
      </w:r>
    </w:p>
    <w:p>
      <w:pPr>
        <w:spacing w:after="0" w:line="304" w:lineRule="auto"/>
        <w:sectPr>
          <w:pgSz w:w="11910" w:h="16850"/>
          <w:pgMar w:header="876" w:footer="985" w:top="1340" w:bottom="1180" w:left="1260" w:right="1180"/>
        </w:sectPr>
      </w:pPr>
    </w:p>
    <w:p>
      <w:pPr>
        <w:pStyle w:val="BodyText"/>
        <w:spacing w:before="3"/>
        <w:rPr>
          <w:sz w:val="26"/>
        </w:rPr>
      </w:pPr>
    </w:p>
    <w:p>
      <w:pPr>
        <w:pStyle w:val="Heading2"/>
        <w:spacing w:before="72"/>
        <w:ind w:left="300" w:firstLine="0"/>
      </w:pPr>
      <w:r>
        <w:rPr/>
        <w:t>附件 </w:t>
      </w:r>
      <w:r>
        <w:rPr>
          <w:rFonts w:ascii="Arial" w:eastAsia="Arial"/>
        </w:rPr>
        <w:t>2</w:t>
      </w:r>
      <w:r>
        <w:rPr/>
        <w:t>：</w:t>
      </w:r>
    </w:p>
    <w:p>
      <w:pPr>
        <w:spacing w:before="100"/>
        <w:ind w:left="1380" w:right="0" w:firstLine="0"/>
        <w:jc w:val="left"/>
        <w:rPr>
          <w:rFonts w:ascii="黑体" w:eastAsia="黑体" w:hint="eastAsia"/>
          <w:b/>
          <w:sz w:val="30"/>
        </w:rPr>
      </w:pPr>
      <w:bookmarkStart w:name="_bookmark9" w:id="17"/>
      <w:bookmarkEnd w:id="17"/>
      <w:r>
        <w:rPr/>
      </w:r>
      <w:r>
        <w:rPr>
          <w:rFonts w:ascii="黑体" w:eastAsia="黑体" w:hint="eastAsia"/>
          <w:b/>
          <w:sz w:val="30"/>
        </w:rPr>
        <w:t>认证机构实施产品认证的认可评审人日数核算方法</w:t>
      </w:r>
    </w:p>
    <w:p>
      <w:pPr>
        <w:pStyle w:val="BodyText"/>
        <w:rPr>
          <w:rFonts w:ascii="黑体"/>
          <w:b/>
          <w:sz w:val="35"/>
        </w:rPr>
      </w:pPr>
    </w:p>
    <w:p>
      <w:pPr>
        <w:pStyle w:val="ListParagraph"/>
        <w:numPr>
          <w:ilvl w:val="0"/>
          <w:numId w:val="11"/>
        </w:numPr>
        <w:tabs>
          <w:tab w:pos="768" w:val="left" w:leader="none"/>
          <w:tab w:pos="769" w:val="left" w:leader="none"/>
        </w:tabs>
        <w:spacing w:line="240" w:lineRule="auto" w:before="0" w:after="0"/>
        <w:ind w:left="768" w:right="0" w:hanging="468"/>
        <w:jc w:val="left"/>
        <w:rPr>
          <w:rFonts w:ascii="黑体" w:eastAsia="黑体" w:hint="eastAsia"/>
          <w:b/>
          <w:sz w:val="30"/>
        </w:rPr>
      </w:pPr>
      <w:r>
        <w:rPr>
          <w:rFonts w:ascii="黑体" w:eastAsia="黑体" w:hint="eastAsia"/>
          <w:b/>
          <w:sz w:val="30"/>
        </w:rPr>
        <w:t>文件审查</w:t>
      </w:r>
    </w:p>
    <w:p>
      <w:pPr>
        <w:pStyle w:val="Heading3"/>
        <w:numPr>
          <w:ilvl w:val="1"/>
          <w:numId w:val="11"/>
        </w:numPr>
        <w:tabs>
          <w:tab w:pos="759" w:val="left" w:leader="none"/>
        </w:tabs>
        <w:spacing w:line="240" w:lineRule="auto" w:before="104" w:after="0"/>
        <w:ind w:left="758" w:right="0" w:hanging="458"/>
        <w:jc w:val="left"/>
      </w:pPr>
      <w:r>
        <w:rPr/>
        <w:t>初评</w:t>
      </w:r>
    </w:p>
    <w:p>
      <w:pPr>
        <w:pStyle w:val="ListParagraph"/>
        <w:numPr>
          <w:ilvl w:val="2"/>
          <w:numId w:val="11"/>
        </w:numPr>
        <w:tabs>
          <w:tab w:pos="994" w:val="left" w:leader="none"/>
        </w:tabs>
        <w:spacing w:line="240" w:lineRule="auto" w:before="95" w:after="0"/>
        <w:ind w:left="994" w:right="0" w:hanging="694"/>
        <w:jc w:val="left"/>
        <w:rPr>
          <w:rFonts w:ascii="黑体" w:eastAsia="黑体" w:hint="eastAsia"/>
          <w:b/>
          <w:sz w:val="28"/>
        </w:rPr>
      </w:pPr>
      <w:r>
        <w:rPr>
          <w:rFonts w:ascii="黑体" w:eastAsia="黑体" w:hint="eastAsia"/>
          <w:b/>
          <w:sz w:val="28"/>
        </w:rPr>
        <w:t>单一场所认证机构</w:t>
      </w:r>
    </w:p>
    <w:p>
      <w:pPr>
        <w:pStyle w:val="Heading4"/>
        <w:numPr>
          <w:ilvl w:val="3"/>
          <w:numId w:val="11"/>
        </w:numPr>
        <w:tabs>
          <w:tab w:pos="1297" w:val="left" w:leader="none"/>
        </w:tabs>
        <w:spacing w:line="240" w:lineRule="auto" w:before="94" w:after="0"/>
        <w:ind w:left="1296" w:right="0" w:hanging="996"/>
        <w:jc w:val="left"/>
      </w:pPr>
      <w:r>
        <w:rPr/>
        <w:t>单领域</w:t>
      </w:r>
    </w:p>
    <w:p>
      <w:pPr>
        <w:pStyle w:val="BodyText"/>
        <w:spacing w:line="302" w:lineRule="auto" w:before="100"/>
        <w:ind w:left="300" w:right="374" w:firstLine="479"/>
        <w:jc w:val="both"/>
      </w:pPr>
      <w:r>
        <w:rPr>
          <w:spacing w:val="-5"/>
        </w:rPr>
        <w:t>初评时的文件审查一般为 </w:t>
      </w:r>
      <w:r>
        <w:rPr>
          <w:rFonts w:ascii="Arial" w:eastAsia="Arial"/>
        </w:rPr>
        <w:t>2</w:t>
      </w:r>
      <w:r>
        <w:rPr/>
        <w:t>～</w:t>
      </w:r>
      <w:r>
        <w:rPr>
          <w:rFonts w:ascii="Arial" w:eastAsia="Arial"/>
        </w:rPr>
        <w:t>3 </w:t>
      </w:r>
      <w:r>
        <w:rPr>
          <w:spacing w:val="-1"/>
        </w:rPr>
        <w:t>个人日，对于规模较大、组织结构较复杂的认证</w:t>
      </w:r>
      <w:r>
        <w:rPr>
          <w:spacing w:val="-5"/>
        </w:rPr>
        <w:t>机构初次文件审查将增加 </w:t>
      </w:r>
      <w:r>
        <w:rPr>
          <w:rFonts w:ascii="Arial" w:eastAsia="Arial"/>
        </w:rPr>
        <w:t>1</w:t>
      </w:r>
      <w:r>
        <w:rPr/>
        <w:t>～</w:t>
      </w:r>
      <w:r>
        <w:rPr>
          <w:rFonts w:ascii="Arial" w:eastAsia="Arial"/>
        </w:rPr>
        <w:t>2 </w:t>
      </w:r>
      <w:r>
        <w:rPr/>
        <w:t>个人日。</w:t>
      </w:r>
    </w:p>
    <w:p>
      <w:pPr>
        <w:pStyle w:val="Heading4"/>
        <w:numPr>
          <w:ilvl w:val="3"/>
          <w:numId w:val="11"/>
        </w:numPr>
        <w:tabs>
          <w:tab w:pos="1297" w:val="left" w:leader="none"/>
        </w:tabs>
        <w:spacing w:line="240" w:lineRule="auto" w:before="1" w:after="0"/>
        <w:ind w:left="1296" w:right="0" w:hanging="996"/>
        <w:jc w:val="left"/>
      </w:pPr>
      <w:r>
        <w:rPr/>
        <w:t>多领域</w:t>
      </w:r>
    </w:p>
    <w:p>
      <w:pPr>
        <w:pStyle w:val="ListParagraph"/>
        <w:numPr>
          <w:ilvl w:val="4"/>
          <w:numId w:val="11"/>
        </w:numPr>
        <w:tabs>
          <w:tab w:pos="1124" w:val="left" w:leader="none"/>
        </w:tabs>
        <w:spacing w:line="302" w:lineRule="auto" w:before="96" w:after="0"/>
        <w:ind w:left="300" w:right="360" w:firstLine="480"/>
        <w:jc w:val="both"/>
        <w:rPr>
          <w:sz w:val="24"/>
        </w:rPr>
      </w:pPr>
      <w:r>
        <w:rPr>
          <w:spacing w:val="7"/>
          <w:sz w:val="24"/>
        </w:rPr>
        <w:t>对认证机构已经将多个领域的认可规范要求整合为一套管理体系的结合评</w:t>
      </w:r>
      <w:r>
        <w:rPr>
          <w:spacing w:val="-6"/>
          <w:sz w:val="24"/>
        </w:rPr>
        <w:t>审。初评时的结合文件审查一般为 </w:t>
      </w:r>
      <w:r>
        <w:rPr>
          <w:rFonts w:ascii="Arial" w:eastAsia="Arial"/>
          <w:sz w:val="24"/>
        </w:rPr>
        <w:t>3</w:t>
      </w:r>
      <w:r>
        <w:rPr>
          <w:sz w:val="24"/>
        </w:rPr>
        <w:t>～</w:t>
      </w:r>
      <w:r>
        <w:rPr>
          <w:rFonts w:ascii="Arial" w:eastAsia="Arial"/>
          <w:sz w:val="24"/>
        </w:rPr>
        <w:t>4</w:t>
      </w:r>
      <w:r>
        <w:rPr>
          <w:rFonts w:ascii="Arial" w:eastAsia="Arial"/>
          <w:spacing w:val="-6"/>
          <w:sz w:val="24"/>
        </w:rPr>
        <w:t> </w:t>
      </w:r>
      <w:r>
        <w:rPr>
          <w:spacing w:val="-12"/>
          <w:sz w:val="24"/>
        </w:rPr>
        <w:t>个人日。超过 </w:t>
      </w:r>
      <w:r>
        <w:rPr>
          <w:rFonts w:ascii="Arial" w:eastAsia="Arial"/>
          <w:sz w:val="24"/>
        </w:rPr>
        <w:t>5</w:t>
      </w:r>
      <w:r>
        <w:rPr>
          <w:rFonts w:ascii="Arial" w:eastAsia="Arial"/>
          <w:spacing w:val="-6"/>
          <w:sz w:val="24"/>
        </w:rPr>
        <w:t> </w:t>
      </w:r>
      <w:r>
        <w:rPr>
          <w:spacing w:val="-1"/>
          <w:sz w:val="24"/>
        </w:rPr>
        <w:t>个领域的整合将根据各领域认可所依据认可规范文件之间的差异程度适当增加。</w:t>
      </w:r>
    </w:p>
    <w:p>
      <w:pPr>
        <w:pStyle w:val="ListParagraph"/>
        <w:numPr>
          <w:ilvl w:val="4"/>
          <w:numId w:val="11"/>
        </w:numPr>
        <w:tabs>
          <w:tab w:pos="1117" w:val="left" w:leader="none"/>
        </w:tabs>
        <w:spacing w:line="302" w:lineRule="auto" w:before="4" w:after="0"/>
        <w:ind w:left="300" w:right="373" w:firstLine="480"/>
        <w:jc w:val="both"/>
        <w:rPr>
          <w:sz w:val="24"/>
        </w:rPr>
      </w:pPr>
      <w:r>
        <w:rPr>
          <w:sz w:val="24"/>
        </w:rPr>
        <w:t>对于认证机构多个领域多套管理体系的结合评审，各领域文件审查的收费分</w:t>
      </w:r>
      <w:r>
        <w:rPr>
          <w:spacing w:val="-7"/>
          <w:sz w:val="24"/>
        </w:rPr>
        <w:t>别按照本附件条款 </w:t>
      </w:r>
      <w:r>
        <w:rPr>
          <w:rFonts w:ascii="Arial" w:eastAsia="Arial"/>
          <w:sz w:val="24"/>
        </w:rPr>
        <w:t>1.1.1.1</w:t>
      </w:r>
      <w:r>
        <w:rPr>
          <w:rFonts w:ascii="Arial" w:eastAsia="Arial"/>
          <w:spacing w:val="-5"/>
          <w:sz w:val="24"/>
        </w:rPr>
        <w:t> </w:t>
      </w:r>
      <w:r>
        <w:rPr>
          <w:sz w:val="24"/>
        </w:rPr>
        <w:t>执行。</w:t>
      </w:r>
    </w:p>
    <w:p>
      <w:pPr>
        <w:pStyle w:val="Heading3"/>
        <w:numPr>
          <w:ilvl w:val="2"/>
          <w:numId w:val="12"/>
        </w:numPr>
        <w:tabs>
          <w:tab w:pos="994" w:val="left" w:leader="none"/>
        </w:tabs>
        <w:spacing w:line="240" w:lineRule="auto" w:before="2" w:after="0"/>
        <w:ind w:left="994" w:right="0" w:hanging="694"/>
        <w:jc w:val="left"/>
      </w:pPr>
      <w:r>
        <w:rPr/>
        <w:t>多场所认证机构</w:t>
      </w:r>
    </w:p>
    <w:p>
      <w:pPr>
        <w:pStyle w:val="Heading4"/>
        <w:numPr>
          <w:ilvl w:val="3"/>
          <w:numId w:val="12"/>
        </w:numPr>
        <w:tabs>
          <w:tab w:pos="1227" w:val="left" w:leader="none"/>
        </w:tabs>
        <w:spacing w:line="240" w:lineRule="auto" w:before="97" w:after="0"/>
        <w:ind w:left="1226" w:right="0" w:hanging="926"/>
        <w:jc w:val="left"/>
      </w:pPr>
      <w:r>
        <w:rPr/>
        <w:t>总部</w:t>
      </w:r>
    </w:p>
    <w:p>
      <w:pPr>
        <w:pStyle w:val="BodyText"/>
        <w:spacing w:before="97"/>
        <w:ind w:left="780"/>
      </w:pPr>
      <w:r>
        <w:rPr/>
        <w:t>对总部统一的管理体系文件的文件审查，根据所具有领域的多少按照本附件</w:t>
      </w:r>
    </w:p>
    <w:p>
      <w:pPr>
        <w:pStyle w:val="BodyText"/>
        <w:spacing w:before="81"/>
        <w:ind w:left="300"/>
      </w:pPr>
      <w:r>
        <w:rPr>
          <w:rFonts w:ascii="Arial" w:eastAsia="Arial"/>
        </w:rPr>
        <w:t>1.1.1.1 </w:t>
      </w:r>
      <w:r>
        <w:rPr/>
        <w:t>或 </w:t>
      </w:r>
      <w:r>
        <w:rPr>
          <w:rFonts w:ascii="Arial" w:eastAsia="Arial"/>
        </w:rPr>
        <w:t>1.1.1.2 </w:t>
      </w:r>
      <w:r>
        <w:rPr/>
        <w:t>计算。</w:t>
      </w:r>
    </w:p>
    <w:p>
      <w:pPr>
        <w:pStyle w:val="Heading4"/>
        <w:numPr>
          <w:ilvl w:val="3"/>
          <w:numId w:val="12"/>
        </w:numPr>
        <w:tabs>
          <w:tab w:pos="1297" w:val="left" w:leader="none"/>
        </w:tabs>
        <w:spacing w:line="240" w:lineRule="auto" w:before="80" w:after="0"/>
        <w:ind w:left="1296" w:right="0" w:hanging="996"/>
        <w:jc w:val="left"/>
      </w:pPr>
      <w:r>
        <w:rPr/>
        <w:t>关键场所</w:t>
      </w:r>
    </w:p>
    <w:p>
      <w:pPr>
        <w:pStyle w:val="BodyText"/>
        <w:spacing w:line="302" w:lineRule="auto" w:before="96"/>
        <w:ind w:left="300" w:right="373" w:firstLine="479"/>
        <w:jc w:val="both"/>
      </w:pPr>
      <w:r>
        <w:rPr>
          <w:spacing w:val="-6"/>
        </w:rPr>
        <w:t>在总部统一的管理体系文件之下，关键场所还拥有其适用的管理体系文件</w:t>
      </w:r>
      <w:r>
        <w:rPr/>
        <w:t>（</w:t>
      </w:r>
      <w:r>
        <w:rPr>
          <w:spacing w:val="-7"/>
        </w:rPr>
        <w:t>包括</w:t>
      </w:r>
      <w:r>
        <w:rPr/>
        <w:t>手册和程序）</w:t>
      </w:r>
      <w:r>
        <w:rPr>
          <w:spacing w:val="-4"/>
        </w:rPr>
        <w:t>。单领域初评时对该文件的文件审查一般为 </w:t>
      </w:r>
      <w:r>
        <w:rPr>
          <w:rFonts w:ascii="Arial" w:eastAsia="Arial"/>
        </w:rPr>
        <w:t>1</w:t>
      </w:r>
      <w:r>
        <w:rPr/>
        <w:t>～</w:t>
      </w:r>
      <w:r>
        <w:rPr>
          <w:rFonts w:ascii="Arial" w:eastAsia="Arial"/>
        </w:rPr>
        <w:t>2 </w:t>
      </w:r>
      <w:r>
        <w:rPr>
          <w:spacing w:val="-2"/>
        </w:rPr>
        <w:t>个人日，涉及多领域</w:t>
      </w:r>
      <w:r>
        <w:rPr/>
        <w:t>时，根据情况适当增加。</w:t>
      </w:r>
    </w:p>
    <w:p>
      <w:pPr>
        <w:pStyle w:val="Heading3"/>
        <w:numPr>
          <w:ilvl w:val="1"/>
          <w:numId w:val="13"/>
        </w:numPr>
        <w:tabs>
          <w:tab w:pos="759" w:val="left" w:leader="none"/>
        </w:tabs>
        <w:spacing w:line="240" w:lineRule="auto" w:before="3" w:after="0"/>
        <w:ind w:left="758" w:right="0" w:hanging="458"/>
        <w:jc w:val="left"/>
      </w:pPr>
      <w:r>
        <w:rPr/>
        <w:t>文件更改或换版</w:t>
      </w:r>
    </w:p>
    <w:p>
      <w:pPr>
        <w:pStyle w:val="BodyText"/>
        <w:spacing w:line="302" w:lineRule="auto" w:before="99"/>
        <w:ind w:left="300" w:right="373" w:firstLine="479"/>
        <w:jc w:val="both"/>
      </w:pPr>
      <w:r>
        <w:rPr>
          <w:spacing w:val="-3"/>
        </w:rPr>
        <w:t>总部文件更改或换版的文件审查根据修改内容的多少按 </w:t>
      </w:r>
      <w:r>
        <w:rPr>
          <w:rFonts w:ascii="Arial" w:eastAsia="Arial"/>
        </w:rPr>
        <w:t>1</w:t>
      </w:r>
      <w:r>
        <w:rPr/>
        <w:t>～</w:t>
      </w:r>
      <w:r>
        <w:rPr>
          <w:rFonts w:ascii="Arial" w:eastAsia="Arial"/>
        </w:rPr>
        <w:t>4 </w:t>
      </w:r>
      <w:r>
        <w:rPr>
          <w:spacing w:val="-2"/>
        </w:rPr>
        <w:t>个人日计算。关键</w:t>
      </w:r>
      <w:r>
        <w:rPr>
          <w:spacing w:val="-3"/>
        </w:rPr>
        <w:t>场所文件更改或换版的文件审查根据修改内容的多少按 </w:t>
      </w:r>
      <w:r>
        <w:rPr>
          <w:rFonts w:ascii="Arial" w:eastAsia="Arial"/>
        </w:rPr>
        <w:t>1</w:t>
      </w:r>
      <w:r>
        <w:rPr/>
        <w:t>～</w:t>
      </w:r>
      <w:r>
        <w:rPr>
          <w:rFonts w:ascii="Arial" w:eastAsia="Arial"/>
        </w:rPr>
        <w:t>2 </w:t>
      </w:r>
      <w:r>
        <w:rPr/>
        <w:t>个人日计算。</w:t>
      </w:r>
    </w:p>
    <w:p>
      <w:pPr>
        <w:pStyle w:val="Heading3"/>
        <w:numPr>
          <w:ilvl w:val="1"/>
          <w:numId w:val="13"/>
        </w:numPr>
        <w:tabs>
          <w:tab w:pos="831" w:val="left" w:leader="none"/>
        </w:tabs>
        <w:spacing w:line="240" w:lineRule="auto" w:before="1" w:after="0"/>
        <w:ind w:left="830" w:right="0" w:hanging="530"/>
        <w:jc w:val="left"/>
      </w:pPr>
      <w:r>
        <w:rPr/>
        <w:t>监督和复评</w:t>
      </w:r>
    </w:p>
    <w:p>
      <w:pPr>
        <w:pStyle w:val="ListParagraph"/>
        <w:numPr>
          <w:ilvl w:val="2"/>
          <w:numId w:val="13"/>
        </w:numPr>
        <w:tabs>
          <w:tab w:pos="956" w:val="left" w:leader="none"/>
        </w:tabs>
        <w:spacing w:line="240" w:lineRule="auto" w:before="97" w:after="0"/>
        <w:ind w:left="955" w:right="0" w:hanging="655"/>
        <w:jc w:val="left"/>
        <w:rPr>
          <w:sz w:val="24"/>
        </w:rPr>
      </w:pPr>
      <w:r>
        <w:rPr>
          <w:spacing w:val="-6"/>
          <w:sz w:val="24"/>
        </w:rPr>
        <w:t>监督时，文件审查按本附件 </w:t>
      </w:r>
      <w:r>
        <w:rPr>
          <w:rFonts w:ascii="Arial" w:eastAsia="Arial"/>
          <w:sz w:val="24"/>
        </w:rPr>
        <w:t>1.2</w:t>
      </w:r>
      <w:r>
        <w:rPr>
          <w:rFonts w:ascii="Arial" w:eastAsia="Arial"/>
          <w:spacing w:val="-5"/>
          <w:sz w:val="24"/>
        </w:rPr>
        <w:t> </w:t>
      </w:r>
      <w:r>
        <w:rPr>
          <w:spacing w:val="-1"/>
          <w:sz w:val="24"/>
        </w:rPr>
        <w:t>文件更改或文件换版的人日数计算；</w:t>
      </w:r>
    </w:p>
    <w:p>
      <w:pPr>
        <w:pStyle w:val="ListParagraph"/>
        <w:numPr>
          <w:ilvl w:val="2"/>
          <w:numId w:val="13"/>
        </w:numPr>
        <w:tabs>
          <w:tab w:pos="956" w:val="left" w:leader="none"/>
        </w:tabs>
        <w:spacing w:line="240" w:lineRule="auto" w:before="81" w:after="0"/>
        <w:ind w:left="955" w:right="0" w:hanging="655"/>
        <w:jc w:val="left"/>
        <w:rPr>
          <w:sz w:val="24"/>
        </w:rPr>
      </w:pPr>
      <w:r>
        <w:rPr>
          <w:spacing w:val="-6"/>
          <w:sz w:val="24"/>
        </w:rPr>
        <w:t>复评时，文件审查参照本附件 </w:t>
      </w:r>
      <w:r>
        <w:rPr>
          <w:rFonts w:ascii="Arial" w:eastAsia="Arial"/>
          <w:sz w:val="24"/>
        </w:rPr>
        <w:t>1.1</w:t>
      </w:r>
      <w:r>
        <w:rPr>
          <w:rFonts w:ascii="Arial" w:eastAsia="Arial"/>
          <w:spacing w:val="-5"/>
          <w:sz w:val="24"/>
        </w:rPr>
        <w:t> </w:t>
      </w:r>
      <w:r>
        <w:rPr>
          <w:sz w:val="24"/>
        </w:rPr>
        <w:t>初评的文件审查人日数计算。</w:t>
      </w:r>
    </w:p>
    <w:p>
      <w:pPr>
        <w:pStyle w:val="Heading3"/>
        <w:numPr>
          <w:ilvl w:val="1"/>
          <w:numId w:val="14"/>
        </w:numPr>
        <w:tabs>
          <w:tab w:pos="759" w:val="left" w:leader="none"/>
        </w:tabs>
        <w:spacing w:line="240" w:lineRule="auto" w:before="80" w:after="0"/>
        <w:ind w:left="758" w:right="0" w:hanging="458"/>
        <w:jc w:val="left"/>
        <w:rPr>
          <w:rFonts w:ascii="Arial" w:eastAsia="Arial"/>
        </w:rPr>
      </w:pPr>
      <w:r>
        <w:rPr/>
        <w:t>扩大认可范围</w:t>
      </w:r>
    </w:p>
    <w:p>
      <w:pPr>
        <w:pStyle w:val="ListParagraph"/>
        <w:numPr>
          <w:ilvl w:val="2"/>
          <w:numId w:val="14"/>
        </w:numPr>
        <w:tabs>
          <w:tab w:pos="932" w:val="left" w:leader="none"/>
        </w:tabs>
        <w:spacing w:line="304" w:lineRule="auto" w:before="96" w:after="0"/>
        <w:ind w:left="300" w:right="371" w:firstLine="0"/>
        <w:jc w:val="left"/>
        <w:rPr>
          <w:sz w:val="24"/>
        </w:rPr>
      </w:pPr>
      <w:r>
        <w:rPr>
          <w:spacing w:val="-2"/>
          <w:sz w:val="24"/>
        </w:rPr>
        <w:t>常规产品认证领域扩大业务范围文件审查，按申报的产品类别及标准数量收取</w:t>
      </w:r>
      <w:r>
        <w:rPr>
          <w:spacing w:val="-8"/>
          <w:sz w:val="24"/>
        </w:rPr>
        <w:t>评审费，原则上少于 </w:t>
      </w:r>
      <w:r>
        <w:rPr>
          <w:rFonts w:ascii="Arial" w:eastAsia="Arial"/>
          <w:sz w:val="24"/>
        </w:rPr>
        <w:t>20</w:t>
      </w:r>
      <w:r>
        <w:rPr>
          <w:rFonts w:ascii="Arial" w:eastAsia="Arial"/>
          <w:spacing w:val="-8"/>
          <w:sz w:val="24"/>
        </w:rPr>
        <w:t> </w:t>
      </w:r>
      <w:r>
        <w:rPr>
          <w:spacing w:val="-9"/>
          <w:sz w:val="24"/>
        </w:rPr>
        <w:t>个产品标准，按 </w:t>
      </w:r>
      <w:r>
        <w:rPr>
          <w:rFonts w:ascii="Arial" w:eastAsia="Arial"/>
          <w:sz w:val="24"/>
        </w:rPr>
        <w:t>1</w:t>
      </w:r>
      <w:r>
        <w:rPr>
          <w:sz w:val="24"/>
        </w:rPr>
        <w:t>～</w:t>
      </w:r>
      <w:r>
        <w:rPr>
          <w:rFonts w:ascii="Arial" w:eastAsia="Arial"/>
          <w:sz w:val="24"/>
        </w:rPr>
        <w:t>2</w:t>
      </w:r>
      <w:r>
        <w:rPr>
          <w:rFonts w:ascii="Arial" w:eastAsia="Arial"/>
          <w:spacing w:val="-8"/>
          <w:sz w:val="24"/>
        </w:rPr>
        <w:t> </w:t>
      </w:r>
      <w:r>
        <w:rPr>
          <w:sz w:val="24"/>
        </w:rPr>
        <w:t>个人日计算，</w:t>
      </w:r>
      <w:r>
        <w:rPr>
          <w:rFonts w:ascii="Arial" w:eastAsia="Arial"/>
          <w:sz w:val="24"/>
        </w:rPr>
        <w:t>20</w:t>
      </w:r>
      <w:r>
        <w:rPr>
          <w:sz w:val="24"/>
        </w:rPr>
        <w:t>～</w:t>
      </w:r>
      <w:r>
        <w:rPr>
          <w:rFonts w:ascii="Arial" w:eastAsia="Arial"/>
          <w:sz w:val="24"/>
        </w:rPr>
        <w:t>50</w:t>
      </w:r>
      <w:r>
        <w:rPr>
          <w:rFonts w:ascii="Arial" w:eastAsia="Arial"/>
          <w:spacing w:val="-7"/>
          <w:sz w:val="24"/>
        </w:rPr>
        <w:t> </w:t>
      </w:r>
      <w:r>
        <w:rPr>
          <w:spacing w:val="-3"/>
          <w:sz w:val="24"/>
        </w:rPr>
        <w:t>个产品标准，按</w:t>
      </w:r>
    </w:p>
    <w:p>
      <w:pPr>
        <w:pStyle w:val="BodyText"/>
        <w:spacing w:line="304" w:lineRule="exact"/>
        <w:ind w:left="300"/>
      </w:pPr>
      <w:r>
        <w:rPr>
          <w:rFonts w:ascii="Arial" w:eastAsia="Arial"/>
        </w:rPr>
        <w:t>2</w:t>
      </w:r>
      <w:r>
        <w:rPr/>
        <w:t>～</w:t>
      </w:r>
      <w:r>
        <w:rPr>
          <w:rFonts w:ascii="Arial" w:eastAsia="Arial"/>
        </w:rPr>
        <w:t>3 </w:t>
      </w:r>
      <w:r>
        <w:rPr/>
        <w:t>个人日计算，超过 </w:t>
      </w:r>
      <w:r>
        <w:rPr>
          <w:rFonts w:ascii="Arial" w:eastAsia="Arial"/>
        </w:rPr>
        <w:t>50 </w:t>
      </w:r>
      <w:r>
        <w:rPr/>
        <w:t>个产品标准，按 </w:t>
      </w:r>
      <w:r>
        <w:rPr>
          <w:rFonts w:ascii="Arial" w:eastAsia="Arial"/>
        </w:rPr>
        <w:t>3</w:t>
      </w:r>
      <w:r>
        <w:rPr/>
        <w:t>～</w:t>
      </w:r>
      <w:r>
        <w:rPr>
          <w:rFonts w:ascii="Arial" w:eastAsia="Arial"/>
        </w:rPr>
        <w:t>4 </w:t>
      </w:r>
      <w:r>
        <w:rPr/>
        <w:t>个人日计算。</w:t>
      </w:r>
    </w:p>
    <w:p>
      <w:pPr>
        <w:spacing w:after="0" w:line="304" w:lineRule="exact"/>
        <w:sectPr>
          <w:pgSz w:w="11910" w:h="16850"/>
          <w:pgMar w:header="876" w:footer="985" w:top="1340" w:bottom="1180" w:left="1260" w:right="1180"/>
        </w:sectPr>
      </w:pPr>
    </w:p>
    <w:p>
      <w:pPr>
        <w:pStyle w:val="ListParagraph"/>
        <w:numPr>
          <w:ilvl w:val="2"/>
          <w:numId w:val="14"/>
        </w:numPr>
        <w:tabs>
          <w:tab w:pos="932" w:val="left" w:leader="none"/>
        </w:tabs>
        <w:spacing w:line="302" w:lineRule="auto" w:before="67" w:after="0"/>
        <w:ind w:left="300" w:right="373" w:firstLine="0"/>
        <w:jc w:val="left"/>
        <w:rPr>
          <w:sz w:val="24"/>
        </w:rPr>
      </w:pPr>
      <w:r>
        <w:rPr>
          <w:spacing w:val="-2"/>
          <w:sz w:val="24"/>
        </w:rPr>
        <w:t>有机产品认证、良好农业规范认证和森林认证领域扩大业务范围文件审查，按</w:t>
      </w:r>
      <w:r>
        <w:rPr>
          <w:spacing w:val="-6"/>
          <w:sz w:val="24"/>
        </w:rPr>
        <w:t>每个领域每个业务范围 </w:t>
      </w:r>
      <w:r>
        <w:rPr>
          <w:rFonts w:ascii="Arial" w:eastAsia="Arial"/>
          <w:sz w:val="24"/>
        </w:rPr>
        <w:t>1</w:t>
      </w:r>
      <w:r>
        <w:rPr>
          <w:rFonts w:ascii="Arial" w:eastAsia="Arial"/>
          <w:spacing w:val="-6"/>
          <w:sz w:val="24"/>
        </w:rPr>
        <w:t> </w:t>
      </w:r>
      <w:r>
        <w:rPr>
          <w:sz w:val="24"/>
        </w:rPr>
        <w:t>个人日计算。</w:t>
      </w:r>
    </w:p>
    <w:p>
      <w:pPr>
        <w:pStyle w:val="Heading2"/>
        <w:numPr>
          <w:ilvl w:val="0"/>
          <w:numId w:val="14"/>
        </w:numPr>
        <w:tabs>
          <w:tab w:pos="768" w:val="left" w:leader="none"/>
          <w:tab w:pos="769" w:val="left" w:leader="none"/>
        </w:tabs>
        <w:spacing w:line="382" w:lineRule="exact" w:before="0" w:after="0"/>
        <w:ind w:left="768" w:right="0" w:hanging="468"/>
        <w:jc w:val="left"/>
        <w:rPr>
          <w:rFonts w:ascii="Arial" w:eastAsia="Arial"/>
        </w:rPr>
      </w:pPr>
      <w:r>
        <w:rPr/>
        <w:t>现场评审</w:t>
      </w:r>
    </w:p>
    <w:p>
      <w:pPr>
        <w:pStyle w:val="ListParagraph"/>
        <w:numPr>
          <w:ilvl w:val="1"/>
          <w:numId w:val="15"/>
        </w:numPr>
        <w:tabs>
          <w:tab w:pos="793" w:val="left" w:leader="none"/>
        </w:tabs>
        <w:spacing w:line="240" w:lineRule="auto" w:before="103" w:after="0"/>
        <w:ind w:left="792" w:right="0" w:hanging="492"/>
        <w:jc w:val="left"/>
        <w:rPr>
          <w:rFonts w:ascii="黑体" w:eastAsia="黑体" w:hint="eastAsia"/>
          <w:b/>
          <w:sz w:val="30"/>
        </w:rPr>
      </w:pPr>
      <w:r>
        <w:rPr>
          <w:rFonts w:ascii="黑体" w:eastAsia="黑体" w:hint="eastAsia"/>
          <w:b/>
          <w:sz w:val="30"/>
        </w:rPr>
        <w:t>单一场所认证机构</w:t>
      </w:r>
    </w:p>
    <w:p>
      <w:pPr>
        <w:pStyle w:val="ListParagraph"/>
        <w:numPr>
          <w:ilvl w:val="2"/>
          <w:numId w:val="15"/>
        </w:numPr>
        <w:tabs>
          <w:tab w:pos="1042" w:val="left" w:leader="none"/>
        </w:tabs>
        <w:spacing w:line="240" w:lineRule="auto" w:before="100" w:after="0"/>
        <w:ind w:left="1042" w:right="0" w:hanging="742"/>
        <w:jc w:val="left"/>
        <w:rPr>
          <w:rFonts w:ascii="黑体" w:eastAsia="黑体" w:hint="eastAsia"/>
          <w:b/>
          <w:sz w:val="30"/>
        </w:rPr>
      </w:pPr>
      <w:r>
        <w:rPr>
          <w:rFonts w:ascii="黑体" w:eastAsia="黑体" w:hint="eastAsia"/>
          <w:b/>
          <w:sz w:val="30"/>
        </w:rPr>
        <w:t>单领域</w:t>
      </w:r>
    </w:p>
    <w:p>
      <w:pPr>
        <w:pStyle w:val="BodyText"/>
        <w:spacing w:before="108"/>
        <w:ind w:left="780"/>
      </w:pPr>
      <w:r>
        <w:rPr/>
        <w:t>单领域的现场评审包括对认证机构的管理体系评审和认证业务能力评审（含自有</w:t>
      </w:r>
    </w:p>
    <w:p>
      <w:pPr>
        <w:pStyle w:val="BodyText"/>
        <w:spacing w:line="304" w:lineRule="auto" w:before="81"/>
        <w:ind w:left="300" w:right="285"/>
      </w:pPr>
      <w:r>
        <w:rPr>
          <w:rFonts w:ascii="Arial" w:eastAsia="Arial"/>
        </w:rPr>
        <w:t>/</w:t>
      </w:r>
      <w:r>
        <w:rPr/>
        <w:t>分包实验室能力核对</w:t>
      </w:r>
      <w:r>
        <w:rPr>
          <w:spacing w:val="-120"/>
        </w:rPr>
        <w:t>）</w:t>
      </w:r>
      <w:r>
        <w:rPr>
          <w:spacing w:val="-10"/>
        </w:rPr>
        <w:t>两部分。现场评审的总人日数为本附件</w:t>
      </w:r>
      <w:r>
        <w:rPr>
          <w:rFonts w:ascii="Arial" w:eastAsia="Arial"/>
        </w:rPr>
        <w:t>2.1.1.1 </w:t>
      </w:r>
      <w:r>
        <w:rPr>
          <w:spacing w:val="15"/>
        </w:rPr>
        <w:t>中表</w:t>
      </w:r>
      <w:r>
        <w:rPr>
          <w:rFonts w:ascii="Arial" w:eastAsia="Arial"/>
        </w:rPr>
        <w:t>1 </w:t>
      </w:r>
      <w:r>
        <w:rPr>
          <w:spacing w:val="31"/>
        </w:rPr>
        <w:t>和</w:t>
      </w:r>
      <w:r>
        <w:rPr>
          <w:rFonts w:ascii="Arial" w:eastAsia="Arial"/>
        </w:rPr>
        <w:t>2.1.1.2 </w:t>
      </w:r>
      <w:r>
        <w:rPr/>
        <w:t>两部分之和。在此基础上，考虑机构的具体情况（</w:t>
      </w:r>
      <w:r>
        <w:rPr>
          <w:spacing w:val="-2"/>
        </w:rPr>
        <w:t>如职能繁简、管理体系的成熟度、</w:t>
      </w:r>
      <w:r>
        <w:rPr>
          <w:spacing w:val="-8"/>
        </w:rPr>
        <w:t>颁证数量、已颁发认证证书数量、产品类别的差异性、标准的复杂程度、语言等</w:t>
      </w:r>
      <w:r>
        <w:rPr>
          <w:spacing w:val="-20"/>
        </w:rPr>
        <w:t>）</w:t>
      </w:r>
      <w:r>
        <w:rPr/>
        <w:t>可适当调整人日数。</w:t>
      </w:r>
    </w:p>
    <w:p>
      <w:pPr>
        <w:pStyle w:val="ListParagraph"/>
        <w:numPr>
          <w:ilvl w:val="3"/>
          <w:numId w:val="15"/>
        </w:numPr>
        <w:tabs>
          <w:tab w:pos="1158" w:val="left" w:leader="none"/>
        </w:tabs>
        <w:spacing w:line="302" w:lineRule="auto" w:before="0" w:after="0"/>
        <w:ind w:left="300" w:right="3734" w:firstLine="0"/>
        <w:jc w:val="left"/>
        <w:rPr>
          <w:sz w:val="24"/>
        </w:rPr>
      </w:pPr>
      <w:r>
        <w:rPr/>
        <w:pict>
          <v:line style="position:absolute;mso-position-horizontal-relative:page;mso-position-vertical-relative:paragraph;z-index:-47368" from="134.779999pt,39.719978pt" to="262.129999pt,98.039978pt" stroked="true" strokeweight=".48pt" strokecolor="#000000">
            <v:stroke dashstyle="solid"/>
            <w10:wrap type="none"/>
          </v:line>
        </w:pict>
      </w:r>
      <w:r>
        <w:rPr>
          <w:spacing w:val="-5"/>
          <w:sz w:val="24"/>
        </w:rPr>
        <w:t>管理体系评审所需人日数按照下表 </w:t>
      </w:r>
      <w:r>
        <w:rPr>
          <w:rFonts w:ascii="Arial" w:eastAsia="Arial"/>
          <w:sz w:val="24"/>
        </w:rPr>
        <w:t>1</w:t>
      </w:r>
      <w:r>
        <w:rPr>
          <w:rFonts w:ascii="Arial" w:eastAsia="Arial"/>
          <w:spacing w:val="-6"/>
          <w:sz w:val="24"/>
        </w:rPr>
        <w:t> </w:t>
      </w:r>
      <w:r>
        <w:rPr>
          <w:spacing w:val="-5"/>
          <w:sz w:val="24"/>
        </w:rPr>
        <w:t>执行。</w:t>
      </w:r>
      <w:r>
        <w:rPr>
          <w:spacing w:val="-30"/>
          <w:sz w:val="24"/>
        </w:rPr>
        <w:t>表 </w:t>
      </w:r>
      <w:r>
        <w:rPr>
          <w:rFonts w:ascii="Arial" w:eastAsia="Arial"/>
          <w:sz w:val="24"/>
        </w:rPr>
        <w:t>1</w:t>
      </w:r>
      <w:r>
        <w:rPr>
          <w:sz w:val="24"/>
        </w:rPr>
        <w:t>：</w:t>
      </w: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1985"/>
        <w:gridCol w:w="1092"/>
        <w:gridCol w:w="1440"/>
        <w:gridCol w:w="1441"/>
      </w:tblGrid>
      <w:tr>
        <w:trPr>
          <w:trHeight w:val="1165" w:hRule="atLeast"/>
        </w:trPr>
        <w:tc>
          <w:tcPr>
            <w:tcW w:w="2556" w:type="dxa"/>
            <w:gridSpan w:val="2"/>
            <w:tcBorders>
              <w:left w:val="single" w:sz="4" w:space="0" w:color="000000"/>
              <w:bottom w:val="single" w:sz="4" w:space="0" w:color="000000"/>
              <w:right w:val="single" w:sz="4" w:space="0" w:color="000000"/>
            </w:tcBorders>
          </w:tcPr>
          <w:p>
            <w:pPr>
              <w:pStyle w:val="TableParagraph"/>
              <w:spacing w:line="302" w:lineRule="auto"/>
              <w:ind w:left="1608" w:right="10" w:hanging="92"/>
              <w:rPr>
                <w:rFonts w:ascii="Arial" w:eastAsia="Arial"/>
                <w:sz w:val="24"/>
              </w:rPr>
            </w:pPr>
            <w:r>
              <w:rPr>
                <w:sz w:val="24"/>
              </w:rPr>
              <w:t>认证机构总人数 </w:t>
            </w:r>
            <w:r>
              <w:rPr>
                <w:rFonts w:ascii="Arial" w:eastAsia="Arial"/>
                <w:sz w:val="24"/>
                <w:vertAlign w:val="superscript"/>
              </w:rPr>
              <w:t>1</w:t>
            </w:r>
          </w:p>
          <w:p>
            <w:pPr>
              <w:pStyle w:val="TableParagraph"/>
              <w:spacing w:before="1"/>
              <w:ind w:left="330"/>
              <w:rPr>
                <w:sz w:val="24"/>
              </w:rPr>
            </w:pPr>
            <w:r>
              <w:rPr>
                <w:sz w:val="24"/>
              </w:rPr>
              <w:t>评审类型</w:t>
            </w:r>
          </w:p>
        </w:tc>
        <w:tc>
          <w:tcPr>
            <w:tcW w:w="1092" w:type="dxa"/>
            <w:tcBorders>
              <w:left w:val="single" w:sz="4" w:space="0" w:color="000000"/>
              <w:bottom w:val="single" w:sz="4" w:space="0" w:color="000000"/>
              <w:right w:val="single" w:sz="4" w:space="0" w:color="000000"/>
            </w:tcBorders>
          </w:tcPr>
          <w:p>
            <w:pPr>
              <w:pStyle w:val="TableParagraph"/>
              <w:spacing w:before="5"/>
              <w:rPr>
                <w:sz w:val="31"/>
              </w:rPr>
            </w:pPr>
          </w:p>
          <w:p>
            <w:pPr>
              <w:pStyle w:val="TableParagraph"/>
              <w:ind w:left="259" w:right="250"/>
              <w:jc w:val="center"/>
              <w:rPr>
                <w:rFonts w:ascii="Arial" w:hAnsi="Arial"/>
                <w:sz w:val="24"/>
              </w:rPr>
            </w:pPr>
            <w:r>
              <w:rPr>
                <w:rFonts w:ascii="Arial" w:hAnsi="Arial"/>
                <w:sz w:val="24"/>
              </w:rPr>
              <w:t>≤100</w:t>
            </w:r>
          </w:p>
        </w:tc>
        <w:tc>
          <w:tcPr>
            <w:tcW w:w="1440" w:type="dxa"/>
            <w:tcBorders>
              <w:left w:val="single" w:sz="4" w:space="0" w:color="000000"/>
              <w:bottom w:val="single" w:sz="4" w:space="0" w:color="000000"/>
              <w:right w:val="single" w:sz="4" w:space="0" w:color="000000"/>
            </w:tcBorders>
          </w:tcPr>
          <w:p>
            <w:pPr>
              <w:pStyle w:val="TableParagraph"/>
              <w:spacing w:before="5"/>
              <w:rPr>
                <w:sz w:val="31"/>
              </w:rPr>
            </w:pPr>
          </w:p>
          <w:p>
            <w:pPr>
              <w:pStyle w:val="TableParagraph"/>
              <w:ind w:left="258" w:right="248"/>
              <w:jc w:val="center"/>
              <w:rPr>
                <w:rFonts w:ascii="Arial"/>
                <w:sz w:val="24"/>
              </w:rPr>
            </w:pPr>
            <w:r>
              <w:rPr>
                <w:rFonts w:ascii="Arial"/>
                <w:sz w:val="24"/>
              </w:rPr>
              <w:t>101-200</w:t>
            </w:r>
          </w:p>
        </w:tc>
        <w:tc>
          <w:tcPr>
            <w:tcW w:w="1441" w:type="dxa"/>
            <w:tcBorders>
              <w:left w:val="single" w:sz="4" w:space="0" w:color="000000"/>
              <w:bottom w:val="single" w:sz="4" w:space="0" w:color="000000"/>
            </w:tcBorders>
          </w:tcPr>
          <w:p>
            <w:pPr>
              <w:pStyle w:val="TableParagraph"/>
              <w:spacing w:before="5"/>
              <w:rPr>
                <w:sz w:val="31"/>
              </w:rPr>
            </w:pPr>
          </w:p>
          <w:p>
            <w:pPr>
              <w:pStyle w:val="TableParagraph"/>
              <w:ind w:left="428" w:right="414"/>
              <w:jc w:val="center"/>
              <w:rPr>
                <w:rFonts w:ascii="Arial"/>
                <w:sz w:val="24"/>
              </w:rPr>
            </w:pPr>
            <w:r>
              <w:rPr>
                <w:rFonts w:ascii="Arial"/>
                <w:sz w:val="24"/>
              </w:rPr>
              <w:t>&gt;200</w:t>
            </w:r>
          </w:p>
        </w:tc>
      </w:tr>
      <w:tr>
        <w:trPr>
          <w:trHeight w:val="465" w:hRule="atLeast"/>
        </w:trPr>
        <w:tc>
          <w:tcPr>
            <w:tcW w:w="57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04" w:lineRule="auto" w:before="64"/>
              <w:ind w:left="162" w:right="157"/>
              <w:rPr>
                <w:sz w:val="24"/>
              </w:rPr>
            </w:pPr>
            <w:r>
              <w:rPr>
                <w:sz w:val="24"/>
              </w:rPr>
              <w:t>初评</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37"/>
              <w:ind w:left="148" w:right="140"/>
              <w:jc w:val="center"/>
              <w:rPr>
                <w:sz w:val="24"/>
              </w:rPr>
            </w:pPr>
            <w:r>
              <w:rPr>
                <w:sz w:val="24"/>
              </w:rPr>
              <w:t>初次认可</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spacing w:before="54"/>
              <w:ind w:left="7"/>
              <w:jc w:val="center"/>
              <w:rPr>
                <w:rFonts w:ascii="Arial"/>
                <w:sz w:val="24"/>
              </w:rPr>
            </w:pPr>
            <w:r>
              <w:rPr>
                <w:rFonts w:ascii="Arial"/>
                <w:w w:val="99"/>
                <w:sz w:val="24"/>
              </w:rPr>
              <w:t>4</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54"/>
              <w:ind w:left="10"/>
              <w:jc w:val="center"/>
              <w:rPr>
                <w:rFonts w:ascii="Arial"/>
                <w:sz w:val="24"/>
              </w:rPr>
            </w:pPr>
            <w:r>
              <w:rPr>
                <w:rFonts w:ascii="Arial"/>
                <w:w w:val="99"/>
                <w:sz w:val="24"/>
              </w:rPr>
              <w:t>5</w:t>
            </w:r>
          </w:p>
        </w:tc>
        <w:tc>
          <w:tcPr>
            <w:tcW w:w="1441" w:type="dxa"/>
            <w:tcBorders>
              <w:top w:val="single" w:sz="4" w:space="0" w:color="000000"/>
              <w:left w:val="single" w:sz="4" w:space="0" w:color="000000"/>
              <w:bottom w:val="single" w:sz="4" w:space="0" w:color="000000"/>
            </w:tcBorders>
          </w:tcPr>
          <w:p>
            <w:pPr>
              <w:pStyle w:val="TableParagraph"/>
              <w:spacing w:before="54"/>
              <w:ind w:left="14"/>
              <w:jc w:val="center"/>
              <w:rPr>
                <w:rFonts w:ascii="Arial"/>
                <w:sz w:val="24"/>
              </w:rPr>
            </w:pPr>
            <w:r>
              <w:rPr>
                <w:rFonts w:ascii="Arial"/>
                <w:w w:val="99"/>
                <w:sz w:val="24"/>
              </w:rPr>
              <w:t>6</w:t>
            </w:r>
          </w:p>
        </w:tc>
      </w:tr>
      <w:tr>
        <w:trPr>
          <w:trHeight w:val="429" w:hRule="atLeast"/>
        </w:trPr>
        <w:tc>
          <w:tcPr>
            <w:tcW w:w="571" w:type="dxa"/>
            <w:vMerge/>
            <w:tcBorders>
              <w:top w:val="nil"/>
              <w:left w:val="single" w:sz="4" w:space="0" w:color="000000"/>
              <w:bottom w:val="single" w:sz="4" w:space="0" w:color="000000"/>
              <w:right w:val="single" w:sz="4" w:space="0" w:color="000000"/>
            </w:tcBorders>
          </w:tcPr>
          <w:p>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21"/>
              <w:ind w:left="148" w:right="140"/>
              <w:jc w:val="center"/>
              <w:rPr>
                <w:rFonts w:ascii="Arial" w:eastAsia="Arial"/>
                <w:sz w:val="24"/>
              </w:rPr>
            </w:pPr>
            <w:r>
              <w:rPr>
                <w:sz w:val="24"/>
              </w:rPr>
              <w:t>扩大认可领域 </w:t>
            </w:r>
            <w:r>
              <w:rPr>
                <w:rFonts w:ascii="Arial" w:eastAsia="Arial"/>
                <w:sz w:val="24"/>
                <w:vertAlign w:val="superscript"/>
              </w:rPr>
              <w:t>2</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spacing w:before="36"/>
              <w:ind w:left="7"/>
              <w:jc w:val="center"/>
              <w:rPr>
                <w:rFonts w:ascii="Arial"/>
                <w:sz w:val="24"/>
              </w:rPr>
            </w:pPr>
            <w:r>
              <w:rPr>
                <w:rFonts w:ascii="Arial"/>
                <w:w w:val="99"/>
                <w:sz w:val="24"/>
              </w:rPr>
              <w:t>3</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36"/>
              <w:ind w:left="10"/>
              <w:jc w:val="center"/>
              <w:rPr>
                <w:rFonts w:ascii="Arial"/>
                <w:sz w:val="24"/>
              </w:rPr>
            </w:pPr>
            <w:r>
              <w:rPr>
                <w:rFonts w:ascii="Arial"/>
                <w:w w:val="99"/>
                <w:sz w:val="24"/>
              </w:rPr>
              <w:t>4</w:t>
            </w:r>
          </w:p>
        </w:tc>
        <w:tc>
          <w:tcPr>
            <w:tcW w:w="1441" w:type="dxa"/>
            <w:tcBorders>
              <w:top w:val="single" w:sz="4" w:space="0" w:color="000000"/>
              <w:left w:val="single" w:sz="4" w:space="0" w:color="000000"/>
              <w:bottom w:val="single" w:sz="4" w:space="0" w:color="000000"/>
            </w:tcBorders>
          </w:tcPr>
          <w:p>
            <w:pPr>
              <w:pStyle w:val="TableParagraph"/>
              <w:spacing w:before="36"/>
              <w:ind w:left="14"/>
              <w:jc w:val="center"/>
              <w:rPr>
                <w:rFonts w:ascii="Arial"/>
                <w:sz w:val="24"/>
              </w:rPr>
            </w:pPr>
            <w:r>
              <w:rPr>
                <w:rFonts w:ascii="Arial"/>
                <w:w w:val="99"/>
                <w:sz w:val="24"/>
              </w:rPr>
              <w:t>5</w:t>
            </w:r>
          </w:p>
        </w:tc>
      </w:tr>
      <w:tr>
        <w:trPr>
          <w:trHeight w:val="443" w:hRule="atLeast"/>
        </w:trPr>
        <w:tc>
          <w:tcPr>
            <w:tcW w:w="255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5"/>
              <w:ind w:left="1014" w:right="1011"/>
              <w:jc w:val="center"/>
              <w:rPr>
                <w:sz w:val="24"/>
              </w:rPr>
            </w:pPr>
            <w:r>
              <w:rPr>
                <w:sz w:val="24"/>
              </w:rPr>
              <w:t>复评</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spacing w:before="42"/>
              <w:ind w:left="7"/>
              <w:jc w:val="center"/>
              <w:rPr>
                <w:rFonts w:ascii="Arial"/>
                <w:sz w:val="24"/>
              </w:rPr>
            </w:pPr>
            <w:r>
              <w:rPr>
                <w:rFonts w:ascii="Arial"/>
                <w:w w:val="99"/>
                <w:sz w:val="24"/>
              </w:rPr>
              <w:t>3</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2"/>
              <w:ind w:left="10"/>
              <w:jc w:val="center"/>
              <w:rPr>
                <w:rFonts w:ascii="Arial"/>
                <w:sz w:val="24"/>
              </w:rPr>
            </w:pPr>
            <w:r>
              <w:rPr>
                <w:rFonts w:ascii="Arial"/>
                <w:w w:val="99"/>
                <w:sz w:val="24"/>
              </w:rPr>
              <w:t>4</w:t>
            </w:r>
          </w:p>
        </w:tc>
        <w:tc>
          <w:tcPr>
            <w:tcW w:w="1441" w:type="dxa"/>
            <w:tcBorders>
              <w:top w:val="single" w:sz="4" w:space="0" w:color="000000"/>
              <w:left w:val="single" w:sz="4" w:space="0" w:color="000000"/>
              <w:bottom w:val="single" w:sz="4" w:space="0" w:color="000000"/>
            </w:tcBorders>
          </w:tcPr>
          <w:p>
            <w:pPr>
              <w:pStyle w:val="TableParagraph"/>
              <w:spacing w:before="42"/>
              <w:ind w:left="14"/>
              <w:jc w:val="center"/>
              <w:rPr>
                <w:rFonts w:ascii="Arial"/>
                <w:sz w:val="24"/>
              </w:rPr>
            </w:pPr>
            <w:r>
              <w:rPr>
                <w:rFonts w:ascii="Arial"/>
                <w:w w:val="99"/>
                <w:sz w:val="24"/>
              </w:rPr>
              <w:t>5</w:t>
            </w:r>
          </w:p>
        </w:tc>
      </w:tr>
      <w:tr>
        <w:trPr>
          <w:trHeight w:val="443" w:hRule="atLeast"/>
        </w:trPr>
        <w:tc>
          <w:tcPr>
            <w:tcW w:w="2556" w:type="dxa"/>
            <w:gridSpan w:val="2"/>
            <w:tcBorders>
              <w:top w:val="single" w:sz="4" w:space="0" w:color="000000"/>
              <w:left w:val="single" w:sz="4" w:space="0" w:color="000000"/>
              <w:right w:val="single" w:sz="4" w:space="0" w:color="000000"/>
            </w:tcBorders>
          </w:tcPr>
          <w:p>
            <w:pPr>
              <w:pStyle w:val="TableParagraph"/>
              <w:spacing w:before="28"/>
              <w:ind w:left="1014" w:right="1011"/>
              <w:jc w:val="center"/>
              <w:rPr>
                <w:sz w:val="24"/>
              </w:rPr>
            </w:pPr>
            <w:r>
              <w:rPr>
                <w:sz w:val="24"/>
              </w:rPr>
              <w:t>监督</w:t>
            </w:r>
          </w:p>
        </w:tc>
        <w:tc>
          <w:tcPr>
            <w:tcW w:w="1092" w:type="dxa"/>
            <w:tcBorders>
              <w:top w:val="single" w:sz="4" w:space="0" w:color="000000"/>
              <w:left w:val="single" w:sz="4" w:space="0" w:color="000000"/>
              <w:right w:val="single" w:sz="4" w:space="0" w:color="000000"/>
            </w:tcBorders>
          </w:tcPr>
          <w:p>
            <w:pPr>
              <w:pStyle w:val="TableParagraph"/>
              <w:spacing w:before="42"/>
              <w:ind w:left="7"/>
              <w:jc w:val="center"/>
              <w:rPr>
                <w:rFonts w:ascii="Arial"/>
                <w:sz w:val="24"/>
              </w:rPr>
            </w:pPr>
            <w:r>
              <w:rPr>
                <w:rFonts w:ascii="Arial"/>
                <w:w w:val="99"/>
                <w:sz w:val="24"/>
              </w:rPr>
              <w:t>2</w:t>
            </w:r>
          </w:p>
        </w:tc>
        <w:tc>
          <w:tcPr>
            <w:tcW w:w="1440" w:type="dxa"/>
            <w:tcBorders>
              <w:top w:val="single" w:sz="4" w:space="0" w:color="000000"/>
              <w:left w:val="single" w:sz="4" w:space="0" w:color="000000"/>
              <w:right w:val="single" w:sz="4" w:space="0" w:color="000000"/>
            </w:tcBorders>
          </w:tcPr>
          <w:p>
            <w:pPr>
              <w:pStyle w:val="TableParagraph"/>
              <w:spacing w:before="42"/>
              <w:ind w:left="10"/>
              <w:jc w:val="center"/>
              <w:rPr>
                <w:rFonts w:ascii="Arial"/>
                <w:sz w:val="24"/>
              </w:rPr>
            </w:pPr>
            <w:r>
              <w:rPr>
                <w:rFonts w:ascii="Arial"/>
                <w:w w:val="99"/>
                <w:sz w:val="24"/>
              </w:rPr>
              <w:t>3</w:t>
            </w:r>
          </w:p>
        </w:tc>
        <w:tc>
          <w:tcPr>
            <w:tcW w:w="1441" w:type="dxa"/>
            <w:tcBorders>
              <w:top w:val="single" w:sz="4" w:space="0" w:color="000000"/>
              <w:left w:val="single" w:sz="4" w:space="0" w:color="000000"/>
            </w:tcBorders>
          </w:tcPr>
          <w:p>
            <w:pPr>
              <w:pStyle w:val="TableParagraph"/>
              <w:spacing w:before="42"/>
              <w:ind w:left="14"/>
              <w:jc w:val="center"/>
              <w:rPr>
                <w:rFonts w:ascii="Arial"/>
                <w:sz w:val="24"/>
              </w:rPr>
            </w:pPr>
            <w:r>
              <w:rPr>
                <w:rFonts w:ascii="Arial"/>
                <w:w w:val="99"/>
                <w:sz w:val="24"/>
              </w:rPr>
              <w:t>4</w:t>
            </w:r>
          </w:p>
        </w:tc>
      </w:tr>
    </w:tbl>
    <w:p>
      <w:pPr>
        <w:pStyle w:val="BodyText"/>
        <w:spacing w:line="304" w:lineRule="auto"/>
        <w:ind w:left="1903" w:right="1542" w:hanging="471"/>
        <w:rPr>
          <w:rFonts w:ascii="仿宋" w:eastAsia="仿宋" w:hint="eastAsia"/>
        </w:rPr>
      </w:pPr>
      <w:r>
        <w:rPr>
          <w:rFonts w:ascii="仿宋" w:eastAsia="仿宋" w:hint="eastAsia"/>
        </w:rPr>
        <w:t>注 1：上述认证机构总人数包括该领域认证机构聘用的专职人员和兼职人员。</w:t>
      </w:r>
    </w:p>
    <w:p>
      <w:pPr>
        <w:pStyle w:val="BodyText"/>
        <w:spacing w:line="302" w:lineRule="auto"/>
        <w:ind w:left="1903" w:right="1499" w:hanging="471"/>
        <w:rPr>
          <w:rFonts w:ascii="仿宋" w:eastAsia="仿宋" w:hint="eastAsia"/>
        </w:rPr>
      </w:pPr>
      <w:r>
        <w:rPr>
          <w:rFonts w:ascii="仿宋" w:eastAsia="仿宋" w:hint="eastAsia"/>
          <w:spacing w:val="-38"/>
        </w:rPr>
        <w:t>注 </w:t>
      </w:r>
      <w:r>
        <w:rPr>
          <w:rFonts w:ascii="仿宋" w:eastAsia="仿宋" w:hint="eastAsia"/>
        </w:rPr>
        <w:t>2</w:t>
      </w:r>
      <w:r>
        <w:rPr>
          <w:rFonts w:ascii="仿宋" w:eastAsia="仿宋" w:hint="eastAsia"/>
          <w:spacing w:val="-21"/>
        </w:rPr>
        <w:t>：上述认可领域参照 </w:t>
      </w:r>
      <w:r>
        <w:rPr>
          <w:rFonts w:ascii="仿宋" w:eastAsia="仿宋" w:hint="eastAsia"/>
        </w:rPr>
        <w:t>CNAS-ASC01</w:t>
      </w:r>
      <w:r>
        <w:rPr>
          <w:rFonts w:ascii="仿宋" w:eastAsia="仿宋" w:hint="eastAsia"/>
          <w:spacing w:val="-20"/>
        </w:rPr>
        <w:t> 中的专项认可制度划分</w:t>
      </w:r>
      <w:r>
        <w:rPr>
          <w:rFonts w:ascii="仿宋" w:eastAsia="仿宋" w:hint="eastAsia"/>
        </w:rPr>
        <w:t>（例</w:t>
      </w:r>
      <w:r>
        <w:rPr>
          <w:rFonts w:ascii="仿宋" w:eastAsia="仿宋" w:hint="eastAsia"/>
          <w:spacing w:val="-4"/>
        </w:rPr>
        <w:t>如：常规产品认证机构扩大认可 </w:t>
      </w:r>
      <w:r>
        <w:rPr>
          <w:rFonts w:ascii="仿宋" w:eastAsia="仿宋" w:hint="eastAsia"/>
        </w:rPr>
        <w:t>GAP、有机产品认证等</w:t>
      </w:r>
      <w:r>
        <w:rPr>
          <w:rFonts w:ascii="仿宋" w:eastAsia="仿宋" w:hint="eastAsia"/>
          <w:spacing w:val="-120"/>
        </w:rPr>
        <w:t>）</w:t>
      </w:r>
      <w:r>
        <w:rPr>
          <w:rFonts w:ascii="仿宋" w:eastAsia="仿宋" w:hint="eastAsia"/>
          <w:spacing w:val="-17"/>
        </w:rPr>
        <w:t>。</w:t>
      </w:r>
    </w:p>
    <w:p>
      <w:pPr>
        <w:pStyle w:val="ListParagraph"/>
        <w:numPr>
          <w:ilvl w:val="3"/>
          <w:numId w:val="15"/>
        </w:numPr>
        <w:tabs>
          <w:tab w:pos="1105" w:val="left" w:leader="none"/>
        </w:tabs>
        <w:spacing w:line="304" w:lineRule="auto" w:before="1" w:after="0"/>
        <w:ind w:left="300" w:right="251" w:firstLine="0"/>
        <w:jc w:val="left"/>
        <w:rPr>
          <w:sz w:val="24"/>
        </w:rPr>
      </w:pPr>
      <w:r>
        <w:rPr>
          <w:spacing w:val="-1"/>
          <w:sz w:val="24"/>
        </w:rPr>
        <w:t>认证业务能力评审</w:t>
      </w:r>
      <w:r>
        <w:rPr>
          <w:sz w:val="24"/>
        </w:rPr>
        <w:t>（含自有</w:t>
      </w:r>
      <w:r>
        <w:rPr>
          <w:rFonts w:ascii="Arial" w:eastAsia="Arial"/>
          <w:sz w:val="24"/>
        </w:rPr>
        <w:t>/</w:t>
      </w:r>
      <w:r>
        <w:rPr>
          <w:sz w:val="24"/>
        </w:rPr>
        <w:t>分包实验室能力核对），按产品认证用标准的数</w:t>
      </w:r>
      <w:r>
        <w:rPr>
          <w:spacing w:val="-16"/>
          <w:sz w:val="24"/>
        </w:rPr>
        <w:t>量确定，原则上 </w:t>
      </w:r>
      <w:r>
        <w:rPr>
          <w:rFonts w:ascii="Arial" w:eastAsia="Arial"/>
          <w:sz w:val="24"/>
        </w:rPr>
        <w:t>20</w:t>
      </w:r>
      <w:r>
        <w:rPr>
          <w:rFonts w:ascii="Arial" w:eastAsia="Arial"/>
          <w:spacing w:val="-6"/>
          <w:sz w:val="24"/>
        </w:rPr>
        <w:t> </w:t>
      </w:r>
      <w:r>
        <w:rPr>
          <w:spacing w:val="-7"/>
          <w:sz w:val="24"/>
        </w:rPr>
        <w:t>个产品标准以下按 </w:t>
      </w:r>
      <w:r>
        <w:rPr>
          <w:rFonts w:ascii="Arial" w:eastAsia="Arial"/>
          <w:sz w:val="24"/>
        </w:rPr>
        <w:t>1</w:t>
      </w:r>
      <w:r>
        <w:rPr>
          <w:sz w:val="24"/>
        </w:rPr>
        <w:t>～</w:t>
      </w:r>
      <w:r>
        <w:rPr>
          <w:rFonts w:ascii="Arial" w:eastAsia="Arial"/>
          <w:sz w:val="24"/>
        </w:rPr>
        <w:t>2</w:t>
      </w:r>
      <w:r>
        <w:rPr>
          <w:rFonts w:ascii="Arial" w:eastAsia="Arial"/>
          <w:spacing w:val="-8"/>
          <w:sz w:val="24"/>
        </w:rPr>
        <w:t> </w:t>
      </w:r>
      <w:r>
        <w:rPr>
          <w:spacing w:val="-13"/>
          <w:sz w:val="24"/>
        </w:rPr>
        <w:t>个人日计算，超过 </w:t>
      </w:r>
      <w:r>
        <w:rPr>
          <w:rFonts w:ascii="Arial" w:eastAsia="Arial"/>
          <w:sz w:val="24"/>
        </w:rPr>
        <w:t>20~50</w:t>
      </w:r>
      <w:r>
        <w:rPr>
          <w:rFonts w:ascii="Arial" w:eastAsia="Arial"/>
          <w:spacing w:val="-6"/>
          <w:sz w:val="24"/>
        </w:rPr>
        <w:t> </w:t>
      </w:r>
      <w:r>
        <w:rPr>
          <w:sz w:val="24"/>
        </w:rPr>
        <w:t>个产品标准时， </w:t>
      </w:r>
      <w:r>
        <w:rPr>
          <w:spacing w:val="-31"/>
          <w:sz w:val="24"/>
        </w:rPr>
        <w:t>按 </w:t>
      </w:r>
      <w:r>
        <w:rPr>
          <w:rFonts w:ascii="Arial" w:eastAsia="Arial"/>
          <w:sz w:val="24"/>
        </w:rPr>
        <w:t>2</w:t>
      </w:r>
      <w:r>
        <w:rPr>
          <w:sz w:val="24"/>
        </w:rPr>
        <w:t>～</w:t>
      </w:r>
      <w:r>
        <w:rPr>
          <w:rFonts w:ascii="Arial" w:eastAsia="Arial"/>
          <w:sz w:val="24"/>
        </w:rPr>
        <w:t>3</w:t>
      </w:r>
      <w:r>
        <w:rPr>
          <w:rFonts w:ascii="Arial" w:eastAsia="Arial"/>
          <w:spacing w:val="-6"/>
          <w:sz w:val="24"/>
        </w:rPr>
        <w:t> </w:t>
      </w:r>
      <w:r>
        <w:rPr>
          <w:spacing w:val="-11"/>
          <w:sz w:val="24"/>
        </w:rPr>
        <w:t>个人日计算，超过 </w:t>
      </w:r>
      <w:r>
        <w:rPr>
          <w:rFonts w:ascii="Arial" w:eastAsia="Arial"/>
          <w:sz w:val="24"/>
        </w:rPr>
        <w:t>50</w:t>
      </w:r>
      <w:r>
        <w:rPr>
          <w:rFonts w:ascii="Arial" w:eastAsia="Arial"/>
          <w:spacing w:val="-6"/>
          <w:sz w:val="24"/>
        </w:rPr>
        <w:t> </w:t>
      </w:r>
      <w:r>
        <w:rPr>
          <w:spacing w:val="-11"/>
          <w:sz w:val="24"/>
        </w:rPr>
        <w:t>个产品标准时，按 </w:t>
      </w:r>
      <w:r>
        <w:rPr>
          <w:rFonts w:ascii="Arial" w:eastAsia="Arial"/>
          <w:sz w:val="24"/>
        </w:rPr>
        <w:t>3</w:t>
      </w:r>
      <w:r>
        <w:rPr>
          <w:sz w:val="24"/>
        </w:rPr>
        <w:t>～</w:t>
      </w:r>
      <w:r>
        <w:rPr>
          <w:rFonts w:ascii="Arial" w:eastAsia="Arial"/>
          <w:sz w:val="24"/>
        </w:rPr>
        <w:t>4</w:t>
      </w:r>
      <w:r>
        <w:rPr>
          <w:rFonts w:ascii="Arial" w:eastAsia="Arial"/>
          <w:spacing w:val="-6"/>
          <w:sz w:val="24"/>
        </w:rPr>
        <w:t> </w:t>
      </w:r>
      <w:r>
        <w:rPr>
          <w:spacing w:val="-4"/>
          <w:sz w:val="24"/>
        </w:rPr>
        <w:t>个人日计算。考虑认证产品类别及标准的复杂程度等因素可进行适当调整。</w:t>
      </w:r>
    </w:p>
    <w:p>
      <w:pPr>
        <w:pStyle w:val="Heading3"/>
        <w:tabs>
          <w:tab w:pos="1205" w:val="left" w:leader="none"/>
        </w:tabs>
        <w:spacing w:line="351" w:lineRule="exact" w:before="0"/>
        <w:ind w:left="300" w:firstLine="0"/>
      </w:pPr>
      <w:r>
        <w:rPr>
          <w:rFonts w:ascii="Arial" w:eastAsia="Arial"/>
        </w:rPr>
        <w:t>2.1.2</w:t>
        <w:tab/>
      </w:r>
      <w:r>
        <w:rPr/>
        <w:t>多领域</w:t>
      </w:r>
    </w:p>
    <w:p>
      <w:pPr>
        <w:pStyle w:val="BodyText"/>
        <w:spacing w:before="97"/>
        <w:ind w:left="780"/>
      </w:pPr>
      <w:r>
        <w:rPr>
          <w:spacing w:val="-11"/>
        </w:rPr>
        <w:t>对于多领域结合评审，</w:t>
      </w:r>
      <w:r>
        <w:rPr>
          <w:rFonts w:ascii="Arial" w:eastAsia="Arial"/>
          <w:w w:val="99"/>
        </w:rPr>
        <w:t>C</w:t>
      </w:r>
      <w:r>
        <w:rPr>
          <w:rFonts w:ascii="Arial" w:eastAsia="Arial"/>
          <w:spacing w:val="-1"/>
          <w:w w:val="99"/>
        </w:rPr>
        <w:t>N</w:t>
      </w:r>
      <w:r>
        <w:rPr>
          <w:rFonts w:ascii="Arial" w:eastAsia="Arial"/>
          <w:w w:val="100"/>
        </w:rPr>
        <w:t>AS</w:t>
      </w:r>
      <w:r>
        <w:rPr>
          <w:rFonts w:ascii="Arial" w:eastAsia="Arial"/>
          <w:spacing w:val="-6"/>
          <w:w w:val="100"/>
        </w:rPr>
        <w:t> </w:t>
      </w:r>
      <w:r>
        <w:rPr>
          <w:spacing w:val="-10"/>
          <w:w w:val="100"/>
        </w:rPr>
        <w:t>通常考虑以下因素，以确定评审工作量的减少比例：</w:t>
      </w:r>
    </w:p>
    <w:p>
      <w:pPr>
        <w:pStyle w:val="ListParagraph"/>
        <w:numPr>
          <w:ilvl w:val="0"/>
          <w:numId w:val="16"/>
        </w:numPr>
        <w:tabs>
          <w:tab w:pos="1150" w:val="left" w:leader="none"/>
        </w:tabs>
        <w:spacing w:line="240" w:lineRule="auto" w:before="83" w:after="0"/>
        <w:ind w:left="1150" w:right="0" w:hanging="370"/>
        <w:jc w:val="left"/>
        <w:rPr>
          <w:sz w:val="24"/>
        </w:rPr>
      </w:pPr>
      <w:r>
        <w:rPr>
          <w:sz w:val="24"/>
        </w:rPr>
        <w:t>认证机构申请认可</w:t>
      </w:r>
      <w:r>
        <w:rPr>
          <w:rFonts w:ascii="Arial" w:eastAsia="Arial"/>
          <w:sz w:val="24"/>
        </w:rPr>
        <w:t>/</w:t>
      </w:r>
      <w:r>
        <w:rPr>
          <w:sz w:val="24"/>
        </w:rPr>
        <w:t>监督</w:t>
      </w:r>
      <w:r>
        <w:rPr>
          <w:rFonts w:ascii="Arial" w:eastAsia="Arial"/>
          <w:sz w:val="24"/>
        </w:rPr>
        <w:t>/</w:t>
      </w:r>
      <w:r>
        <w:rPr>
          <w:sz w:val="24"/>
        </w:rPr>
        <w:t>复评涉及的认可领域的数量；</w:t>
      </w:r>
    </w:p>
    <w:p>
      <w:pPr>
        <w:pStyle w:val="ListParagraph"/>
        <w:numPr>
          <w:ilvl w:val="0"/>
          <w:numId w:val="16"/>
        </w:numPr>
        <w:tabs>
          <w:tab w:pos="1150" w:val="left" w:leader="none"/>
        </w:tabs>
        <w:spacing w:line="240" w:lineRule="auto" w:before="82" w:after="0"/>
        <w:ind w:left="1150" w:right="0" w:hanging="370"/>
        <w:jc w:val="left"/>
        <w:rPr>
          <w:sz w:val="24"/>
        </w:rPr>
      </w:pPr>
      <w:r>
        <w:rPr>
          <w:sz w:val="24"/>
        </w:rPr>
        <w:t>认证机构不同领域管理体系的成熟度及机构对多个管理体系整合的程度；</w:t>
      </w:r>
    </w:p>
    <w:p>
      <w:pPr>
        <w:pStyle w:val="ListParagraph"/>
        <w:numPr>
          <w:ilvl w:val="0"/>
          <w:numId w:val="16"/>
        </w:numPr>
        <w:tabs>
          <w:tab w:pos="1150" w:val="left" w:leader="none"/>
        </w:tabs>
        <w:spacing w:line="240" w:lineRule="auto" w:before="81" w:after="0"/>
        <w:ind w:left="1150" w:right="0" w:hanging="370"/>
        <w:jc w:val="left"/>
        <w:rPr>
          <w:sz w:val="24"/>
        </w:rPr>
      </w:pPr>
      <w:r>
        <w:rPr>
          <w:sz w:val="24"/>
        </w:rPr>
        <w:t>认证机构不同领域认证活动的管理体系的共有要素可以结合评审的程度；</w:t>
      </w:r>
    </w:p>
    <w:p>
      <w:pPr>
        <w:pStyle w:val="ListParagraph"/>
        <w:numPr>
          <w:ilvl w:val="0"/>
          <w:numId w:val="16"/>
        </w:numPr>
        <w:tabs>
          <w:tab w:pos="1150" w:val="left" w:leader="none"/>
        </w:tabs>
        <w:spacing w:line="240" w:lineRule="auto" w:before="82" w:after="0"/>
        <w:ind w:left="1150" w:right="0" w:hanging="370"/>
        <w:jc w:val="left"/>
        <w:rPr>
          <w:sz w:val="24"/>
        </w:rPr>
      </w:pPr>
      <w:r>
        <w:rPr>
          <w:sz w:val="24"/>
        </w:rPr>
        <w:t>各认可领域审核资源的配置状况（各领域人员的专业能力和人员数量）；</w:t>
      </w:r>
    </w:p>
    <w:p>
      <w:pPr>
        <w:pStyle w:val="ListParagraph"/>
        <w:numPr>
          <w:ilvl w:val="0"/>
          <w:numId w:val="16"/>
        </w:numPr>
        <w:tabs>
          <w:tab w:pos="1150" w:val="left" w:leader="none"/>
        </w:tabs>
        <w:spacing w:line="240" w:lineRule="auto" w:before="81" w:after="0"/>
        <w:ind w:left="1150" w:right="0" w:hanging="370"/>
        <w:jc w:val="left"/>
        <w:rPr>
          <w:sz w:val="24"/>
        </w:rPr>
      </w:pPr>
      <w:r>
        <w:rPr>
          <w:sz w:val="24"/>
        </w:rPr>
        <w:t>不同认可领域已发证书数量；</w:t>
      </w:r>
    </w:p>
    <w:p>
      <w:pPr>
        <w:spacing w:after="0" w:line="240" w:lineRule="auto"/>
        <w:jc w:val="left"/>
        <w:rPr>
          <w:sz w:val="24"/>
        </w:rPr>
        <w:sectPr>
          <w:pgSz w:w="11910" w:h="16850"/>
          <w:pgMar w:header="876" w:footer="985" w:top="1340" w:bottom="1180" w:left="1260" w:right="1180"/>
        </w:sectPr>
      </w:pPr>
    </w:p>
    <w:p>
      <w:pPr>
        <w:pStyle w:val="BodyText"/>
        <w:spacing w:before="67"/>
        <w:ind w:left="780"/>
      </w:pPr>
      <w:r>
        <w:rPr/>
        <w:t>综合上述因素，评审人日数可在单领域评审人日数之和的基础上减少至 </w:t>
      </w:r>
      <w:r>
        <w:rPr>
          <w:rFonts w:ascii="Arial" w:eastAsia="Arial"/>
        </w:rPr>
        <w:t>90%</w:t>
      </w:r>
      <w:r>
        <w:rPr/>
        <w:t>～</w:t>
      </w:r>
    </w:p>
    <w:p>
      <w:pPr>
        <w:pStyle w:val="BodyText"/>
        <w:spacing w:before="81"/>
        <w:ind w:left="300"/>
      </w:pPr>
      <w:r>
        <w:rPr>
          <w:rFonts w:ascii="Arial" w:eastAsia="Arial"/>
        </w:rPr>
        <w:t>60%</w:t>
      </w:r>
      <w:r>
        <w:rPr/>
        <w:t>。</w:t>
      </w:r>
    </w:p>
    <w:p>
      <w:pPr>
        <w:pStyle w:val="Heading3"/>
        <w:numPr>
          <w:ilvl w:val="1"/>
          <w:numId w:val="17"/>
        </w:numPr>
        <w:tabs>
          <w:tab w:pos="759" w:val="left" w:leader="none"/>
        </w:tabs>
        <w:spacing w:line="240" w:lineRule="auto" w:before="80" w:after="0"/>
        <w:ind w:left="758" w:right="0" w:hanging="458"/>
        <w:jc w:val="left"/>
      </w:pPr>
      <w:r>
        <w:rPr/>
        <w:t>多场所认证机构</w:t>
      </w:r>
    </w:p>
    <w:p>
      <w:pPr>
        <w:pStyle w:val="ListParagraph"/>
        <w:numPr>
          <w:ilvl w:val="2"/>
          <w:numId w:val="17"/>
        </w:numPr>
        <w:tabs>
          <w:tab w:pos="994" w:val="left" w:leader="none"/>
        </w:tabs>
        <w:spacing w:line="240" w:lineRule="auto" w:before="95" w:after="0"/>
        <w:ind w:left="994" w:right="0" w:hanging="694"/>
        <w:jc w:val="left"/>
        <w:rPr>
          <w:rFonts w:ascii="Arial" w:eastAsia="Arial"/>
          <w:b/>
          <w:sz w:val="28"/>
        </w:rPr>
      </w:pPr>
      <w:r>
        <w:rPr>
          <w:rFonts w:ascii="黑体" w:eastAsia="黑体" w:hint="eastAsia"/>
          <w:b/>
          <w:sz w:val="28"/>
        </w:rPr>
        <w:t>总部</w:t>
      </w:r>
    </w:p>
    <w:p>
      <w:pPr>
        <w:pStyle w:val="BodyText"/>
        <w:spacing w:before="96"/>
        <w:ind w:left="780"/>
      </w:pPr>
      <w:r>
        <w:rPr/>
        <w:t>对总部的现场评审人日数按照本附件 </w:t>
      </w:r>
      <w:r>
        <w:rPr>
          <w:rFonts w:ascii="Arial" w:eastAsia="Arial"/>
        </w:rPr>
        <w:t>2.1 </w:t>
      </w:r>
      <w:r>
        <w:rPr/>
        <w:t>计算。</w:t>
      </w:r>
    </w:p>
    <w:p>
      <w:pPr>
        <w:pStyle w:val="Heading3"/>
        <w:numPr>
          <w:ilvl w:val="2"/>
          <w:numId w:val="17"/>
        </w:numPr>
        <w:tabs>
          <w:tab w:pos="1205" w:val="left" w:leader="none"/>
          <w:tab w:pos="1206" w:val="left" w:leader="none"/>
        </w:tabs>
        <w:spacing w:line="240" w:lineRule="auto" w:before="80" w:after="0"/>
        <w:ind w:left="1205" w:right="0" w:hanging="905"/>
        <w:jc w:val="left"/>
        <w:rPr>
          <w:rFonts w:ascii="Arial" w:eastAsia="Arial"/>
        </w:rPr>
      </w:pPr>
      <w:r>
        <w:rPr/>
        <w:t>关键场所</w:t>
      </w:r>
    </w:p>
    <w:p>
      <w:pPr>
        <w:pStyle w:val="Heading4"/>
        <w:numPr>
          <w:ilvl w:val="3"/>
          <w:numId w:val="17"/>
        </w:numPr>
        <w:tabs>
          <w:tab w:pos="1227" w:val="left" w:leader="none"/>
        </w:tabs>
        <w:spacing w:line="240" w:lineRule="auto" w:before="97" w:after="0"/>
        <w:ind w:left="1226" w:right="0" w:hanging="926"/>
        <w:jc w:val="left"/>
      </w:pPr>
      <w:r>
        <w:rPr/>
        <w:t>单领域</w:t>
      </w:r>
    </w:p>
    <w:p>
      <w:pPr>
        <w:pStyle w:val="BodyText"/>
        <w:spacing w:line="304" w:lineRule="auto" w:before="97"/>
        <w:ind w:left="300" w:right="374" w:firstLine="479"/>
      </w:pPr>
      <w:r>
        <w:rPr>
          <w:spacing w:val="-3"/>
        </w:rPr>
        <w:t>单领域关键场所的现场评审人日数核算见表 </w:t>
      </w:r>
      <w:r>
        <w:rPr>
          <w:rFonts w:ascii="Times New Roman" w:eastAsia="Times New Roman"/>
        </w:rPr>
        <w:t>2</w:t>
      </w:r>
      <w:r>
        <w:rPr>
          <w:spacing w:val="-7"/>
        </w:rPr>
        <w:t>。考虑各关键场所履行关键活动的</w:t>
      </w:r>
      <w:r>
        <w:rPr>
          <w:spacing w:val="-4"/>
        </w:rPr>
        <w:t>具体情况以及发证数量的多少，可在表 </w:t>
      </w:r>
      <w:r>
        <w:rPr>
          <w:rFonts w:ascii="Times New Roman" w:eastAsia="Times New Roman"/>
        </w:rPr>
        <w:t>2 </w:t>
      </w:r>
      <w:r>
        <w:rPr/>
        <w:t>所确定人日数的基础上适当增减。</w:t>
      </w:r>
    </w:p>
    <w:p>
      <w:pPr>
        <w:pStyle w:val="BodyText"/>
        <w:spacing w:line="305" w:lineRule="exact"/>
        <w:ind w:left="300"/>
      </w:pPr>
      <w:r>
        <w:rPr/>
        <w:pict>
          <v:line style="position:absolute;mso-position-horizontal-relative:page;mso-position-vertical-relative:paragraph;z-index:-47344" from="134.779999pt,20.137506pt" to="243.289999pt,78.577506pt" stroked="true" strokeweight=".48pt" strokecolor="#000000">
            <v:stroke dashstyle="solid"/>
            <w10:wrap type="none"/>
          </v:line>
        </w:pict>
      </w:r>
      <w:r>
        <w:rPr/>
        <w:t>表 </w:t>
      </w:r>
      <w:r>
        <w:rPr>
          <w:rFonts w:ascii="Times New Roman" w:eastAsia="Times New Roman"/>
        </w:rPr>
        <w:t>2</w:t>
      </w:r>
      <w:r>
        <w:rPr/>
        <w:t>：</w:t>
      </w:r>
    </w:p>
    <w:p>
      <w:pPr>
        <w:pStyle w:val="BodyText"/>
        <w:spacing w:before="2"/>
        <w:rPr>
          <w:sz w:val="6"/>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0"/>
        <w:gridCol w:w="1469"/>
        <w:gridCol w:w="1440"/>
        <w:gridCol w:w="1441"/>
      </w:tblGrid>
      <w:tr>
        <w:trPr>
          <w:trHeight w:val="1168" w:hRule="atLeast"/>
        </w:trPr>
        <w:tc>
          <w:tcPr>
            <w:tcW w:w="2180" w:type="dxa"/>
            <w:tcBorders>
              <w:left w:val="single" w:sz="4" w:space="0" w:color="000000"/>
              <w:bottom w:val="single" w:sz="4" w:space="0" w:color="000000"/>
              <w:right w:val="single" w:sz="4" w:space="0" w:color="000000"/>
            </w:tcBorders>
          </w:tcPr>
          <w:p>
            <w:pPr>
              <w:pStyle w:val="TableParagraph"/>
              <w:spacing w:line="302" w:lineRule="auto" w:before="2"/>
              <w:ind w:left="1375" w:right="41" w:hanging="236"/>
              <w:rPr>
                <w:sz w:val="24"/>
              </w:rPr>
            </w:pPr>
            <w:r>
              <w:rPr>
                <w:sz w:val="24"/>
              </w:rPr>
              <w:t>关键场所总人数</w:t>
            </w:r>
          </w:p>
          <w:p>
            <w:pPr>
              <w:pStyle w:val="TableParagraph"/>
              <w:spacing w:before="5"/>
              <w:ind w:left="105"/>
              <w:rPr>
                <w:sz w:val="24"/>
              </w:rPr>
            </w:pPr>
            <w:r>
              <w:rPr>
                <w:sz w:val="24"/>
              </w:rPr>
              <w:t>评审类型</w:t>
            </w:r>
          </w:p>
        </w:tc>
        <w:tc>
          <w:tcPr>
            <w:tcW w:w="1469"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445" w:right="440"/>
              <w:jc w:val="center"/>
              <w:rPr>
                <w:rFonts w:ascii="Arial" w:hAnsi="Arial"/>
                <w:sz w:val="24"/>
              </w:rPr>
            </w:pPr>
            <w:r>
              <w:rPr>
                <w:rFonts w:ascii="Arial" w:hAnsi="Arial"/>
                <w:sz w:val="24"/>
              </w:rPr>
              <w:t>≤100</w:t>
            </w:r>
          </w:p>
        </w:tc>
        <w:tc>
          <w:tcPr>
            <w:tcW w:w="1440"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257" w:right="249"/>
              <w:jc w:val="center"/>
              <w:rPr>
                <w:rFonts w:ascii="Arial"/>
                <w:sz w:val="24"/>
              </w:rPr>
            </w:pPr>
            <w:r>
              <w:rPr>
                <w:rFonts w:ascii="Arial"/>
                <w:sz w:val="24"/>
              </w:rPr>
              <w:t>101-200</w:t>
            </w:r>
          </w:p>
        </w:tc>
        <w:tc>
          <w:tcPr>
            <w:tcW w:w="1441" w:type="dxa"/>
            <w:tcBorders>
              <w:left w:val="single" w:sz="4" w:space="0" w:color="000000"/>
              <w:bottom w:val="single" w:sz="4" w:space="0" w:color="000000"/>
            </w:tcBorders>
          </w:tcPr>
          <w:p>
            <w:pPr>
              <w:pStyle w:val="TableParagraph"/>
              <w:spacing w:before="10"/>
              <w:rPr>
                <w:sz w:val="31"/>
              </w:rPr>
            </w:pPr>
          </w:p>
          <w:p>
            <w:pPr>
              <w:pStyle w:val="TableParagraph"/>
              <w:spacing w:before="1"/>
              <w:ind w:left="427" w:right="415"/>
              <w:jc w:val="center"/>
              <w:rPr>
                <w:rFonts w:ascii="Arial"/>
                <w:sz w:val="24"/>
              </w:rPr>
            </w:pPr>
            <w:r>
              <w:rPr>
                <w:rFonts w:ascii="Arial"/>
                <w:sz w:val="24"/>
              </w:rPr>
              <w:t>&gt;200</w:t>
            </w:r>
          </w:p>
        </w:tc>
      </w:tr>
      <w:tr>
        <w:trPr>
          <w:trHeight w:val="443"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28"/>
              <w:ind w:left="846"/>
              <w:rPr>
                <w:sz w:val="24"/>
              </w:rPr>
            </w:pPr>
            <w:r>
              <w:rPr>
                <w:sz w:val="24"/>
              </w:rPr>
              <w:t>初评</w:t>
            </w: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43"/>
              <w:ind w:left="3"/>
              <w:jc w:val="center"/>
              <w:rPr>
                <w:rFonts w:ascii="Arial"/>
                <w:sz w:val="24"/>
              </w:rPr>
            </w:pPr>
            <w:r>
              <w:rPr>
                <w:rFonts w:ascii="Arial"/>
                <w:w w:val="99"/>
                <w:sz w:val="24"/>
              </w:rPr>
              <w:t>4</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3"/>
              <w:ind w:left="8"/>
              <w:jc w:val="center"/>
              <w:rPr>
                <w:rFonts w:ascii="Arial"/>
                <w:sz w:val="24"/>
              </w:rPr>
            </w:pPr>
            <w:r>
              <w:rPr>
                <w:rFonts w:ascii="Arial"/>
                <w:w w:val="99"/>
                <w:sz w:val="24"/>
              </w:rPr>
              <w:t>5</w:t>
            </w:r>
          </w:p>
        </w:tc>
        <w:tc>
          <w:tcPr>
            <w:tcW w:w="1441" w:type="dxa"/>
            <w:tcBorders>
              <w:top w:val="single" w:sz="4" w:space="0" w:color="000000"/>
              <w:left w:val="single" w:sz="4" w:space="0" w:color="000000"/>
              <w:bottom w:val="single" w:sz="4" w:space="0" w:color="000000"/>
            </w:tcBorders>
          </w:tcPr>
          <w:p>
            <w:pPr>
              <w:pStyle w:val="TableParagraph"/>
              <w:spacing w:before="43"/>
              <w:ind w:left="12"/>
              <w:jc w:val="center"/>
              <w:rPr>
                <w:rFonts w:ascii="Arial"/>
                <w:sz w:val="24"/>
              </w:rPr>
            </w:pPr>
            <w:r>
              <w:rPr>
                <w:rFonts w:ascii="Arial"/>
                <w:w w:val="99"/>
                <w:sz w:val="24"/>
              </w:rPr>
              <w:t>6</w:t>
            </w:r>
          </w:p>
        </w:tc>
      </w:tr>
      <w:tr>
        <w:trPr>
          <w:trHeight w:val="443"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28"/>
              <w:ind w:left="846"/>
              <w:rPr>
                <w:sz w:val="24"/>
              </w:rPr>
            </w:pPr>
            <w:r>
              <w:rPr>
                <w:sz w:val="24"/>
              </w:rPr>
              <w:t>复评</w:t>
            </w: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3</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6"/>
              <w:ind w:left="8"/>
              <w:jc w:val="center"/>
              <w:rPr>
                <w:rFonts w:ascii="Arial"/>
                <w:sz w:val="24"/>
              </w:rPr>
            </w:pPr>
            <w:r>
              <w:rPr>
                <w:rFonts w:ascii="Arial"/>
                <w:w w:val="99"/>
                <w:sz w:val="24"/>
              </w:rPr>
              <w:t>4</w:t>
            </w:r>
          </w:p>
        </w:tc>
        <w:tc>
          <w:tcPr>
            <w:tcW w:w="1441" w:type="dxa"/>
            <w:tcBorders>
              <w:top w:val="single" w:sz="4" w:space="0" w:color="000000"/>
              <w:left w:val="single" w:sz="4" w:space="0" w:color="000000"/>
              <w:bottom w:val="single" w:sz="4" w:space="0" w:color="000000"/>
            </w:tcBorders>
          </w:tcPr>
          <w:p>
            <w:pPr>
              <w:pStyle w:val="TableParagraph"/>
              <w:spacing w:before="46"/>
              <w:ind w:left="12"/>
              <w:jc w:val="center"/>
              <w:rPr>
                <w:rFonts w:ascii="Arial"/>
                <w:sz w:val="24"/>
              </w:rPr>
            </w:pPr>
            <w:r>
              <w:rPr>
                <w:rFonts w:ascii="Arial"/>
                <w:w w:val="99"/>
                <w:sz w:val="24"/>
              </w:rPr>
              <w:t>5</w:t>
            </w:r>
          </w:p>
        </w:tc>
      </w:tr>
      <w:tr>
        <w:trPr>
          <w:trHeight w:val="390" w:hRule="atLeast"/>
        </w:trPr>
        <w:tc>
          <w:tcPr>
            <w:tcW w:w="2180" w:type="dxa"/>
            <w:tcBorders>
              <w:top w:val="single" w:sz="4" w:space="0" w:color="000000"/>
              <w:left w:val="single" w:sz="4" w:space="0" w:color="000000"/>
              <w:right w:val="single" w:sz="4" w:space="0" w:color="000000"/>
            </w:tcBorders>
          </w:tcPr>
          <w:p>
            <w:pPr>
              <w:pStyle w:val="TableParagraph"/>
              <w:spacing w:before="2"/>
              <w:ind w:left="846"/>
              <w:rPr>
                <w:sz w:val="24"/>
              </w:rPr>
            </w:pPr>
            <w:r>
              <w:rPr>
                <w:sz w:val="24"/>
              </w:rPr>
              <w:t>监督</w:t>
            </w:r>
          </w:p>
        </w:tc>
        <w:tc>
          <w:tcPr>
            <w:tcW w:w="1469" w:type="dxa"/>
            <w:tcBorders>
              <w:top w:val="single" w:sz="4" w:space="0" w:color="000000"/>
              <w:left w:val="single" w:sz="4" w:space="0" w:color="000000"/>
              <w:right w:val="single" w:sz="4" w:space="0" w:color="000000"/>
            </w:tcBorders>
          </w:tcPr>
          <w:p>
            <w:pPr>
              <w:pStyle w:val="TableParagraph"/>
              <w:spacing w:before="17"/>
              <w:ind w:left="3"/>
              <w:jc w:val="center"/>
              <w:rPr>
                <w:rFonts w:ascii="Arial"/>
                <w:sz w:val="24"/>
              </w:rPr>
            </w:pPr>
            <w:r>
              <w:rPr>
                <w:rFonts w:ascii="Arial"/>
                <w:w w:val="99"/>
                <w:sz w:val="24"/>
              </w:rPr>
              <w:t>2</w:t>
            </w:r>
          </w:p>
        </w:tc>
        <w:tc>
          <w:tcPr>
            <w:tcW w:w="1440" w:type="dxa"/>
            <w:tcBorders>
              <w:top w:val="single" w:sz="4" w:space="0" w:color="000000"/>
              <w:left w:val="single" w:sz="4" w:space="0" w:color="000000"/>
              <w:right w:val="single" w:sz="4" w:space="0" w:color="000000"/>
            </w:tcBorders>
          </w:tcPr>
          <w:p>
            <w:pPr>
              <w:pStyle w:val="TableParagraph"/>
              <w:spacing w:before="17"/>
              <w:ind w:left="8"/>
              <w:jc w:val="center"/>
              <w:rPr>
                <w:rFonts w:ascii="Arial"/>
                <w:sz w:val="24"/>
              </w:rPr>
            </w:pPr>
            <w:r>
              <w:rPr>
                <w:rFonts w:ascii="Arial"/>
                <w:w w:val="99"/>
                <w:sz w:val="24"/>
              </w:rPr>
              <w:t>3</w:t>
            </w:r>
          </w:p>
        </w:tc>
        <w:tc>
          <w:tcPr>
            <w:tcW w:w="1441" w:type="dxa"/>
            <w:tcBorders>
              <w:top w:val="single" w:sz="4" w:space="0" w:color="000000"/>
              <w:left w:val="single" w:sz="4" w:space="0" w:color="000000"/>
            </w:tcBorders>
          </w:tcPr>
          <w:p>
            <w:pPr>
              <w:pStyle w:val="TableParagraph"/>
              <w:spacing w:before="17"/>
              <w:ind w:left="12"/>
              <w:jc w:val="center"/>
              <w:rPr>
                <w:rFonts w:ascii="Arial"/>
                <w:sz w:val="24"/>
              </w:rPr>
            </w:pPr>
            <w:r>
              <w:rPr>
                <w:rFonts w:ascii="Arial"/>
                <w:w w:val="99"/>
                <w:sz w:val="24"/>
              </w:rPr>
              <w:t>4</w:t>
            </w:r>
          </w:p>
        </w:tc>
      </w:tr>
    </w:tbl>
    <w:p>
      <w:pPr>
        <w:pStyle w:val="BodyText"/>
        <w:spacing w:before="2"/>
        <w:ind w:left="1226"/>
        <w:rPr>
          <w:rFonts w:ascii="仿宋" w:eastAsia="仿宋" w:hint="eastAsia"/>
        </w:rPr>
      </w:pPr>
      <w:r>
        <w:rPr>
          <w:rFonts w:ascii="仿宋" w:eastAsia="仿宋" w:hint="eastAsia"/>
        </w:rPr>
        <w:t>注：上述关键场所总人数包括认证机构聘用的专职人员和兼职人员。</w:t>
      </w:r>
    </w:p>
    <w:p>
      <w:pPr>
        <w:pStyle w:val="Heading4"/>
        <w:numPr>
          <w:ilvl w:val="3"/>
          <w:numId w:val="17"/>
        </w:numPr>
        <w:tabs>
          <w:tab w:pos="1227" w:val="left" w:leader="none"/>
        </w:tabs>
        <w:spacing w:line="240" w:lineRule="auto" w:before="80" w:after="0"/>
        <w:ind w:left="1226" w:right="0" w:hanging="926"/>
        <w:jc w:val="left"/>
      </w:pPr>
      <w:r>
        <w:rPr/>
        <w:t>多领域</w:t>
      </w:r>
    </w:p>
    <w:p>
      <w:pPr>
        <w:pStyle w:val="BodyText"/>
        <w:spacing w:before="97"/>
        <w:ind w:left="780"/>
      </w:pPr>
      <w:r>
        <w:rPr/>
        <w:t>多领域关键场所的现场评审人日数，参照本附件 </w:t>
      </w:r>
      <w:r>
        <w:rPr>
          <w:rFonts w:ascii="Arial" w:eastAsia="Arial"/>
        </w:rPr>
        <w:t>2.1.2 </w:t>
      </w:r>
      <w:r>
        <w:rPr/>
        <w:t>所述的方法计算。</w:t>
      </w:r>
    </w:p>
    <w:p>
      <w:pPr>
        <w:pStyle w:val="Heading2"/>
        <w:numPr>
          <w:ilvl w:val="2"/>
          <w:numId w:val="17"/>
        </w:numPr>
        <w:tabs>
          <w:tab w:pos="1042" w:val="left" w:leader="none"/>
        </w:tabs>
        <w:spacing w:line="240" w:lineRule="auto" w:before="76" w:after="0"/>
        <w:ind w:left="1042" w:right="0" w:hanging="742"/>
        <w:jc w:val="left"/>
        <w:rPr>
          <w:rFonts w:ascii="Arial" w:eastAsia="Arial"/>
        </w:rPr>
      </w:pPr>
      <w:r>
        <w:rPr/>
        <w:t>一般场所</w:t>
      </w:r>
    </w:p>
    <w:p>
      <w:pPr>
        <w:pStyle w:val="BodyText"/>
        <w:spacing w:before="108"/>
        <w:ind w:left="780"/>
      </w:pPr>
      <w:r>
        <w:rPr/>
        <w:t>对机构一般场所的现场评审通常安排 </w:t>
      </w:r>
      <w:r>
        <w:rPr>
          <w:rFonts w:ascii="Arial" w:eastAsia="Arial"/>
        </w:rPr>
        <w:t>0.5-1 </w:t>
      </w:r>
      <w:r>
        <w:rPr/>
        <w:t>人日。</w:t>
      </w:r>
    </w:p>
    <w:p>
      <w:pPr>
        <w:pStyle w:val="Heading2"/>
        <w:numPr>
          <w:ilvl w:val="0"/>
          <w:numId w:val="17"/>
        </w:numPr>
        <w:tabs>
          <w:tab w:pos="768" w:val="left" w:leader="none"/>
          <w:tab w:pos="769" w:val="left" w:leader="none"/>
        </w:tabs>
        <w:spacing w:line="240" w:lineRule="auto" w:before="76" w:after="0"/>
        <w:ind w:left="768" w:right="0" w:hanging="468"/>
        <w:jc w:val="left"/>
        <w:rPr>
          <w:rFonts w:ascii="Arial" w:eastAsia="Arial"/>
        </w:rPr>
      </w:pPr>
      <w:r>
        <w:rPr/>
        <w:t>见证评审</w:t>
      </w:r>
    </w:p>
    <w:p>
      <w:pPr>
        <w:pStyle w:val="BodyText"/>
        <w:spacing w:before="105"/>
        <w:ind w:left="816"/>
      </w:pPr>
      <w:r>
        <w:rPr/>
        <w:t>根据实际发生的评审人日数计算。</w:t>
      </w:r>
    </w:p>
    <w:p>
      <w:pPr>
        <w:pStyle w:val="Heading2"/>
        <w:numPr>
          <w:ilvl w:val="0"/>
          <w:numId w:val="17"/>
        </w:numPr>
        <w:tabs>
          <w:tab w:pos="768" w:val="left" w:leader="none"/>
          <w:tab w:pos="769" w:val="left" w:leader="none"/>
        </w:tabs>
        <w:spacing w:line="240" w:lineRule="auto" w:before="77" w:after="0"/>
        <w:ind w:left="768" w:right="0" w:hanging="468"/>
        <w:jc w:val="left"/>
        <w:rPr>
          <w:rFonts w:ascii="Arial" w:eastAsia="Arial"/>
        </w:rPr>
      </w:pPr>
      <w:r>
        <w:rPr/>
        <w:t>不符合项验证</w:t>
      </w:r>
    </w:p>
    <w:p>
      <w:pPr>
        <w:pStyle w:val="BodyText"/>
        <w:spacing w:line="302" w:lineRule="auto" w:before="108"/>
        <w:ind w:left="300" w:right="374" w:firstLine="525"/>
      </w:pPr>
      <w:r>
        <w:rPr>
          <w:spacing w:val="-4"/>
        </w:rPr>
        <w:t>单领域不符合项验证的工作量按 </w:t>
      </w:r>
      <w:r>
        <w:rPr>
          <w:rFonts w:ascii="Arial" w:eastAsia="Arial"/>
        </w:rPr>
        <w:t>1</w:t>
      </w:r>
      <w:r>
        <w:rPr/>
        <w:t>～</w:t>
      </w:r>
      <w:r>
        <w:rPr>
          <w:rFonts w:ascii="Arial" w:eastAsia="Arial"/>
        </w:rPr>
        <w:t>2 </w:t>
      </w:r>
      <w:r>
        <w:rPr>
          <w:spacing w:val="-8"/>
        </w:rPr>
        <w:t>个人日计算。多领域不符合验证工作量视</w:t>
      </w:r>
      <w:r>
        <w:rPr/>
        <w:t>情况适当增加人日数。</w:t>
      </w:r>
    </w:p>
    <w:p>
      <w:pPr>
        <w:spacing w:after="0" w:line="302" w:lineRule="auto"/>
        <w:sectPr>
          <w:pgSz w:w="11910" w:h="16850"/>
          <w:pgMar w:header="876" w:footer="985" w:top="1340" w:bottom="1180" w:left="1260" w:right="1180"/>
        </w:sectPr>
      </w:pPr>
    </w:p>
    <w:p>
      <w:pPr>
        <w:pStyle w:val="Heading2"/>
        <w:spacing w:before="62"/>
        <w:ind w:left="300" w:firstLine="0"/>
      </w:pPr>
      <w:r>
        <w:rPr>
          <w:spacing w:val="-26"/>
        </w:rPr>
        <w:t>附件 </w:t>
      </w:r>
      <w:r>
        <w:rPr>
          <w:rFonts w:ascii="Arial" w:eastAsia="Arial"/>
        </w:rPr>
        <w:t>3</w:t>
      </w:r>
      <w:r>
        <w:rPr/>
        <w:t>：</w:t>
      </w:r>
    </w:p>
    <w:p>
      <w:pPr>
        <w:pStyle w:val="BodyText"/>
        <w:spacing w:before="9"/>
        <w:rPr>
          <w:rFonts w:ascii="黑体"/>
          <w:b/>
          <w:sz w:val="42"/>
        </w:rPr>
      </w:pPr>
      <w:r>
        <w:rPr/>
        <w:br w:type="column"/>
      </w:r>
      <w:r>
        <w:rPr>
          <w:rFonts w:ascii="黑体"/>
          <w:b/>
          <w:sz w:val="42"/>
        </w:rPr>
      </w:r>
    </w:p>
    <w:p>
      <w:pPr>
        <w:spacing w:before="0"/>
        <w:ind w:left="300" w:right="0" w:firstLine="0"/>
        <w:jc w:val="left"/>
        <w:rPr>
          <w:rFonts w:ascii="黑体" w:eastAsia="黑体" w:hint="eastAsia"/>
          <w:b/>
          <w:sz w:val="30"/>
        </w:rPr>
      </w:pPr>
      <w:bookmarkStart w:name="_bookmark10" w:id="18"/>
      <w:bookmarkEnd w:id="18"/>
      <w:r>
        <w:rPr/>
      </w:r>
      <w:r>
        <w:rPr>
          <w:rFonts w:ascii="黑体" w:eastAsia="黑体" w:hint="eastAsia"/>
          <w:b/>
          <w:sz w:val="30"/>
        </w:rPr>
        <w:t>人员认证机构的认可评审人日数核算方法</w:t>
      </w:r>
    </w:p>
    <w:p>
      <w:pPr>
        <w:spacing w:after="0"/>
        <w:jc w:val="left"/>
        <w:rPr>
          <w:rFonts w:ascii="黑体" w:eastAsia="黑体" w:hint="eastAsia"/>
          <w:sz w:val="30"/>
        </w:rPr>
        <w:sectPr>
          <w:pgSz w:w="11910" w:h="16850"/>
          <w:pgMar w:header="876" w:footer="985" w:top="1340" w:bottom="1180" w:left="1260" w:right="1180"/>
          <w:cols w:num="2" w:equalWidth="0">
            <w:col w:w="1486" w:space="197"/>
            <w:col w:w="7787"/>
          </w:cols>
        </w:sectPr>
      </w:pPr>
    </w:p>
    <w:p>
      <w:pPr>
        <w:pStyle w:val="BodyText"/>
        <w:rPr>
          <w:rFonts w:ascii="黑体"/>
          <w:b/>
          <w:sz w:val="20"/>
        </w:rPr>
      </w:pPr>
    </w:p>
    <w:p>
      <w:pPr>
        <w:pStyle w:val="BodyText"/>
        <w:spacing w:before="5"/>
        <w:rPr>
          <w:rFonts w:ascii="黑体"/>
          <w:b/>
          <w:sz w:val="18"/>
        </w:rPr>
      </w:pPr>
    </w:p>
    <w:p>
      <w:pPr>
        <w:pStyle w:val="ListParagraph"/>
        <w:numPr>
          <w:ilvl w:val="0"/>
          <w:numId w:val="18"/>
        </w:numPr>
        <w:tabs>
          <w:tab w:pos="768" w:val="left" w:leader="none"/>
          <w:tab w:pos="769" w:val="left" w:leader="none"/>
        </w:tabs>
        <w:spacing w:line="240" w:lineRule="auto" w:before="72" w:after="0"/>
        <w:ind w:left="768" w:right="0" w:hanging="468"/>
        <w:jc w:val="left"/>
        <w:rPr>
          <w:rFonts w:ascii="黑体" w:eastAsia="黑体" w:hint="eastAsia"/>
          <w:b/>
          <w:sz w:val="30"/>
        </w:rPr>
      </w:pPr>
      <w:r>
        <w:rPr>
          <w:rFonts w:ascii="黑体" w:eastAsia="黑体" w:hint="eastAsia"/>
          <w:b/>
          <w:sz w:val="30"/>
        </w:rPr>
        <w:t>文件审查</w:t>
      </w:r>
    </w:p>
    <w:p>
      <w:pPr>
        <w:pStyle w:val="Heading3"/>
        <w:numPr>
          <w:ilvl w:val="1"/>
          <w:numId w:val="18"/>
        </w:numPr>
        <w:tabs>
          <w:tab w:pos="759" w:val="left" w:leader="none"/>
        </w:tabs>
        <w:spacing w:line="240" w:lineRule="auto" w:before="103" w:after="0"/>
        <w:ind w:left="758" w:right="0" w:hanging="458"/>
        <w:jc w:val="left"/>
      </w:pPr>
      <w:r>
        <w:rPr/>
        <w:t>初评</w:t>
      </w:r>
    </w:p>
    <w:p>
      <w:pPr>
        <w:pStyle w:val="ListParagraph"/>
        <w:numPr>
          <w:ilvl w:val="2"/>
          <w:numId w:val="18"/>
        </w:numPr>
        <w:tabs>
          <w:tab w:pos="994" w:val="left" w:leader="none"/>
        </w:tabs>
        <w:spacing w:line="240" w:lineRule="auto" w:before="97" w:after="0"/>
        <w:ind w:left="994" w:right="0" w:hanging="694"/>
        <w:jc w:val="left"/>
        <w:rPr>
          <w:rFonts w:ascii="黑体" w:eastAsia="黑体" w:hint="eastAsia"/>
          <w:b/>
          <w:sz w:val="28"/>
        </w:rPr>
      </w:pPr>
      <w:r>
        <w:rPr>
          <w:rFonts w:ascii="黑体" w:eastAsia="黑体" w:hint="eastAsia"/>
          <w:b/>
          <w:sz w:val="28"/>
        </w:rPr>
        <w:t>单一场所认证机构</w:t>
      </w:r>
    </w:p>
    <w:p>
      <w:pPr>
        <w:pStyle w:val="BodyText"/>
        <w:spacing w:before="97"/>
        <w:ind w:left="780"/>
      </w:pPr>
      <w:r>
        <w:rPr/>
        <w:t>初评时的文件审查一般为 </w:t>
      </w:r>
      <w:r>
        <w:rPr>
          <w:rFonts w:ascii="Arial" w:eastAsia="Arial"/>
        </w:rPr>
        <w:t>3 </w:t>
      </w:r>
      <w:r>
        <w:rPr/>
        <w:t>个人日，对于规模较大、组织结构较复杂的认证机构</w:t>
      </w:r>
    </w:p>
    <w:p>
      <w:pPr>
        <w:pStyle w:val="BodyText"/>
        <w:spacing w:before="81"/>
        <w:ind w:left="300"/>
      </w:pPr>
      <w:r>
        <w:rPr/>
        <w:t>初次文件审查将增加 </w:t>
      </w:r>
      <w:r>
        <w:rPr>
          <w:rFonts w:ascii="Arial" w:eastAsia="Arial"/>
        </w:rPr>
        <w:t>1 </w:t>
      </w:r>
      <w:r>
        <w:rPr/>
        <w:t>个人日。</w:t>
      </w:r>
    </w:p>
    <w:p>
      <w:pPr>
        <w:pStyle w:val="Heading3"/>
        <w:numPr>
          <w:ilvl w:val="2"/>
          <w:numId w:val="18"/>
        </w:numPr>
        <w:tabs>
          <w:tab w:pos="994" w:val="left" w:leader="none"/>
        </w:tabs>
        <w:spacing w:line="240" w:lineRule="auto" w:before="81" w:after="0"/>
        <w:ind w:left="994" w:right="0" w:hanging="694"/>
        <w:jc w:val="left"/>
      </w:pPr>
      <w:r>
        <w:rPr/>
        <w:t>多场所认证机构</w:t>
      </w:r>
    </w:p>
    <w:p>
      <w:pPr>
        <w:pStyle w:val="Heading4"/>
        <w:numPr>
          <w:ilvl w:val="3"/>
          <w:numId w:val="18"/>
        </w:numPr>
        <w:tabs>
          <w:tab w:pos="1227" w:val="left" w:leader="none"/>
        </w:tabs>
        <w:spacing w:line="240" w:lineRule="auto" w:before="94" w:after="0"/>
        <w:ind w:left="1226" w:right="0" w:hanging="926"/>
        <w:jc w:val="left"/>
      </w:pPr>
      <w:r>
        <w:rPr/>
        <w:t>总部</w:t>
      </w:r>
    </w:p>
    <w:p>
      <w:pPr>
        <w:pStyle w:val="BodyText"/>
        <w:spacing w:before="97"/>
        <w:ind w:left="864"/>
      </w:pPr>
      <w:r>
        <w:rPr/>
        <w:t>对总部统一的管理体系文件的文件审查，按照本附件 </w:t>
      </w:r>
      <w:r>
        <w:rPr>
          <w:rFonts w:ascii="Arial" w:eastAsia="Arial"/>
        </w:rPr>
        <w:t>1.1.1 </w:t>
      </w:r>
      <w:r>
        <w:rPr/>
        <w:t>计算。</w:t>
      </w:r>
    </w:p>
    <w:p>
      <w:pPr>
        <w:pStyle w:val="Heading4"/>
        <w:numPr>
          <w:ilvl w:val="3"/>
          <w:numId w:val="18"/>
        </w:numPr>
        <w:tabs>
          <w:tab w:pos="1297" w:val="left" w:leader="none"/>
        </w:tabs>
        <w:spacing w:line="240" w:lineRule="auto" w:before="80" w:after="0"/>
        <w:ind w:left="1296" w:right="0" w:hanging="996"/>
        <w:jc w:val="left"/>
      </w:pPr>
      <w:r>
        <w:rPr/>
        <w:t>关键场所</w:t>
      </w:r>
    </w:p>
    <w:p>
      <w:pPr>
        <w:pStyle w:val="BodyText"/>
        <w:spacing w:line="302" w:lineRule="auto" w:before="96"/>
        <w:ind w:left="300" w:right="374" w:firstLine="479"/>
      </w:pPr>
      <w:r>
        <w:rPr>
          <w:spacing w:val="-5"/>
        </w:rPr>
        <w:t>在总部统一的管理体系文件之下，关键场所还拥有其适用的管理体系文件</w:t>
      </w:r>
      <w:r>
        <w:rPr/>
        <w:t>（</w:t>
      </w:r>
      <w:r>
        <w:rPr>
          <w:spacing w:val="-8"/>
        </w:rPr>
        <w:t>包括</w:t>
      </w:r>
      <w:r>
        <w:rPr/>
        <w:t>手册和程序），</w:t>
      </w:r>
      <w:r>
        <w:rPr>
          <w:spacing w:val="-4"/>
        </w:rPr>
        <w:t>初评时对该文件的文件审查一般为 </w:t>
      </w:r>
      <w:r>
        <w:rPr>
          <w:rFonts w:ascii="Arial" w:eastAsia="Arial"/>
        </w:rPr>
        <w:t>1</w:t>
      </w:r>
      <w:r>
        <w:rPr/>
        <w:t>～</w:t>
      </w:r>
      <w:r>
        <w:rPr>
          <w:rFonts w:ascii="Arial" w:eastAsia="Arial"/>
        </w:rPr>
        <w:t>2 </w:t>
      </w:r>
      <w:r>
        <w:rPr/>
        <w:t>个人日。</w:t>
      </w:r>
    </w:p>
    <w:p>
      <w:pPr>
        <w:pStyle w:val="Heading3"/>
        <w:numPr>
          <w:ilvl w:val="1"/>
          <w:numId w:val="19"/>
        </w:numPr>
        <w:tabs>
          <w:tab w:pos="759" w:val="left" w:leader="none"/>
        </w:tabs>
        <w:spacing w:line="240" w:lineRule="auto" w:before="3" w:after="0"/>
        <w:ind w:left="758" w:right="0" w:hanging="458"/>
        <w:jc w:val="left"/>
        <w:rPr>
          <w:rFonts w:ascii="Arial" w:eastAsia="Arial"/>
        </w:rPr>
      </w:pPr>
      <w:r>
        <w:rPr/>
        <w:t>文件更改或换版</w:t>
      </w:r>
    </w:p>
    <w:p>
      <w:pPr>
        <w:pStyle w:val="BodyText"/>
        <w:spacing w:line="302" w:lineRule="auto" w:before="97"/>
        <w:ind w:left="300" w:right="305" w:firstLine="479"/>
      </w:pPr>
      <w:r>
        <w:rPr/>
        <w:t>总部文件更改或文件换版的审查根据修改内容的多少按 </w:t>
      </w:r>
      <w:r>
        <w:rPr>
          <w:rFonts w:ascii="Arial" w:eastAsia="Arial"/>
        </w:rPr>
        <w:t>1</w:t>
      </w:r>
      <w:r>
        <w:rPr/>
        <w:t>～</w:t>
      </w:r>
      <w:r>
        <w:rPr>
          <w:rFonts w:ascii="Arial" w:eastAsia="Arial"/>
        </w:rPr>
        <w:t>3 </w:t>
      </w:r>
      <w:r>
        <w:rPr/>
        <w:t>个人日计算。关键场所文件更改或换版的文件审查根据修改内容的多少按 </w:t>
      </w:r>
      <w:r>
        <w:rPr>
          <w:rFonts w:ascii="Arial" w:eastAsia="Arial"/>
        </w:rPr>
        <w:t>1</w:t>
      </w:r>
      <w:r>
        <w:rPr/>
        <w:t>～</w:t>
      </w:r>
      <w:r>
        <w:rPr>
          <w:rFonts w:ascii="Arial" w:eastAsia="Arial"/>
        </w:rPr>
        <w:t>2 </w:t>
      </w:r>
      <w:r>
        <w:rPr/>
        <w:t>个人日计算。</w:t>
      </w:r>
    </w:p>
    <w:p>
      <w:pPr>
        <w:pStyle w:val="Heading3"/>
        <w:numPr>
          <w:ilvl w:val="1"/>
          <w:numId w:val="19"/>
        </w:numPr>
        <w:tabs>
          <w:tab w:pos="831" w:val="left" w:leader="none"/>
        </w:tabs>
        <w:spacing w:line="240" w:lineRule="auto" w:before="1" w:after="0"/>
        <w:ind w:left="830" w:right="0" w:hanging="530"/>
        <w:jc w:val="left"/>
        <w:rPr>
          <w:rFonts w:ascii="Arial" w:eastAsia="Arial"/>
        </w:rPr>
      </w:pPr>
      <w:r>
        <w:rPr/>
        <w:t>监督和复评</w:t>
      </w:r>
    </w:p>
    <w:p>
      <w:pPr>
        <w:pStyle w:val="ListParagraph"/>
        <w:numPr>
          <w:ilvl w:val="2"/>
          <w:numId w:val="19"/>
        </w:numPr>
        <w:tabs>
          <w:tab w:pos="956" w:val="left" w:leader="none"/>
        </w:tabs>
        <w:spacing w:line="240" w:lineRule="auto" w:before="97" w:after="0"/>
        <w:ind w:left="955" w:right="0" w:hanging="655"/>
        <w:jc w:val="left"/>
        <w:rPr>
          <w:sz w:val="24"/>
        </w:rPr>
      </w:pPr>
      <w:r>
        <w:rPr>
          <w:spacing w:val="-6"/>
          <w:sz w:val="24"/>
        </w:rPr>
        <w:t>监督时，文件审查按本附件 </w:t>
      </w:r>
      <w:r>
        <w:rPr>
          <w:rFonts w:ascii="Arial" w:eastAsia="Arial"/>
          <w:sz w:val="24"/>
        </w:rPr>
        <w:t>1.2</w:t>
      </w:r>
      <w:r>
        <w:rPr>
          <w:rFonts w:ascii="Arial" w:eastAsia="Arial"/>
          <w:spacing w:val="-5"/>
          <w:sz w:val="24"/>
        </w:rPr>
        <w:t> </w:t>
      </w:r>
      <w:r>
        <w:rPr>
          <w:spacing w:val="-1"/>
          <w:sz w:val="24"/>
        </w:rPr>
        <w:t>文件更改或文件换版的人日数计算；</w:t>
      </w:r>
    </w:p>
    <w:p>
      <w:pPr>
        <w:pStyle w:val="ListParagraph"/>
        <w:numPr>
          <w:ilvl w:val="2"/>
          <w:numId w:val="19"/>
        </w:numPr>
        <w:tabs>
          <w:tab w:pos="956" w:val="left" w:leader="none"/>
        </w:tabs>
        <w:spacing w:line="240" w:lineRule="auto" w:before="81" w:after="0"/>
        <w:ind w:left="955" w:right="0" w:hanging="655"/>
        <w:jc w:val="left"/>
        <w:rPr>
          <w:sz w:val="24"/>
        </w:rPr>
      </w:pPr>
      <w:r>
        <w:rPr>
          <w:spacing w:val="-6"/>
          <w:sz w:val="24"/>
        </w:rPr>
        <w:t>复评时，文件审查参照本附件 </w:t>
      </w:r>
      <w:r>
        <w:rPr>
          <w:rFonts w:ascii="Arial" w:eastAsia="Arial"/>
          <w:sz w:val="24"/>
        </w:rPr>
        <w:t>1.1</w:t>
      </w:r>
      <w:r>
        <w:rPr>
          <w:rFonts w:ascii="Arial" w:eastAsia="Arial"/>
          <w:spacing w:val="-5"/>
          <w:sz w:val="24"/>
        </w:rPr>
        <w:t> </w:t>
      </w:r>
      <w:r>
        <w:rPr>
          <w:sz w:val="24"/>
        </w:rPr>
        <w:t>初评的文件审查人日数计算。</w:t>
      </w:r>
    </w:p>
    <w:p>
      <w:pPr>
        <w:pStyle w:val="Heading3"/>
        <w:ind w:left="300" w:firstLine="0"/>
      </w:pPr>
      <w:r>
        <w:rPr>
          <w:rFonts w:ascii="Arial" w:eastAsia="Arial"/>
        </w:rPr>
        <w:t>1.4 </w:t>
      </w:r>
      <w:r>
        <w:rPr/>
        <w:t>扩大认可业务范围</w:t>
      </w:r>
    </w:p>
    <w:p>
      <w:pPr>
        <w:pStyle w:val="BodyText"/>
        <w:spacing w:before="96"/>
        <w:ind w:left="780"/>
      </w:pPr>
      <w:r>
        <w:rPr/>
        <w:t>扩大业务范围的文件审查，一般按每个业务范围 </w:t>
      </w:r>
      <w:r>
        <w:rPr>
          <w:rFonts w:ascii="Arial" w:eastAsia="Arial"/>
        </w:rPr>
        <w:t>1 </w:t>
      </w:r>
      <w:r>
        <w:rPr/>
        <w:t>个人日计算。</w:t>
      </w:r>
    </w:p>
    <w:p>
      <w:pPr>
        <w:pStyle w:val="Heading2"/>
        <w:numPr>
          <w:ilvl w:val="0"/>
          <w:numId w:val="19"/>
        </w:numPr>
        <w:tabs>
          <w:tab w:pos="768" w:val="left" w:leader="none"/>
          <w:tab w:pos="769" w:val="left" w:leader="none"/>
        </w:tabs>
        <w:spacing w:line="240" w:lineRule="auto" w:before="79" w:after="0"/>
        <w:ind w:left="768" w:right="0" w:hanging="468"/>
        <w:jc w:val="left"/>
        <w:rPr>
          <w:rFonts w:ascii="Arial" w:eastAsia="Arial"/>
        </w:rPr>
      </w:pPr>
      <w:r>
        <w:rPr/>
        <w:t>现场评审</w:t>
      </w:r>
    </w:p>
    <w:p>
      <w:pPr>
        <w:pStyle w:val="ListParagraph"/>
        <w:numPr>
          <w:ilvl w:val="1"/>
          <w:numId w:val="20"/>
        </w:numPr>
        <w:tabs>
          <w:tab w:pos="793" w:val="left" w:leader="none"/>
        </w:tabs>
        <w:spacing w:line="240" w:lineRule="auto" w:before="101" w:after="0"/>
        <w:ind w:left="792" w:right="0" w:hanging="492"/>
        <w:jc w:val="left"/>
        <w:rPr>
          <w:rFonts w:ascii="黑体" w:eastAsia="黑体" w:hint="eastAsia"/>
          <w:b/>
          <w:sz w:val="30"/>
        </w:rPr>
      </w:pPr>
      <w:r>
        <w:rPr>
          <w:rFonts w:ascii="黑体" w:eastAsia="黑体" w:hint="eastAsia"/>
          <w:b/>
          <w:sz w:val="30"/>
        </w:rPr>
        <w:t>单一场所认证机构</w:t>
      </w:r>
    </w:p>
    <w:p>
      <w:pPr>
        <w:pStyle w:val="ListParagraph"/>
        <w:numPr>
          <w:ilvl w:val="2"/>
          <w:numId w:val="20"/>
        </w:numPr>
        <w:tabs>
          <w:tab w:pos="896" w:val="left" w:leader="none"/>
        </w:tabs>
        <w:spacing w:line="302" w:lineRule="auto" w:before="108" w:after="0"/>
        <w:ind w:left="300" w:right="373" w:firstLine="0"/>
        <w:jc w:val="left"/>
        <w:rPr>
          <w:sz w:val="24"/>
        </w:rPr>
      </w:pPr>
      <w:r>
        <w:rPr>
          <w:spacing w:val="-2"/>
          <w:sz w:val="24"/>
        </w:rPr>
        <w:t>初评时的现场评审包括对认证机构的管理体系评审</w:t>
      </w:r>
      <w:r>
        <w:rPr>
          <w:sz w:val="24"/>
        </w:rPr>
        <w:t>（</w:t>
      </w:r>
      <w:r>
        <w:rPr>
          <w:spacing w:val="-15"/>
          <w:sz w:val="24"/>
        </w:rPr>
        <w:t>即条款 </w:t>
      </w:r>
      <w:r>
        <w:rPr>
          <w:rFonts w:ascii="Arial" w:eastAsia="Arial"/>
          <w:spacing w:val="-3"/>
          <w:sz w:val="24"/>
        </w:rPr>
        <w:t>2.1.1.1</w:t>
      </w:r>
      <w:r>
        <w:rPr>
          <w:spacing w:val="-3"/>
          <w:sz w:val="24"/>
        </w:rPr>
        <w:t>）</w:t>
      </w:r>
      <w:r>
        <w:rPr>
          <w:sz w:val="24"/>
        </w:rPr>
        <w:t>和人员认证制度开发和保持能力评审</w:t>
      </w:r>
      <w:r>
        <w:rPr>
          <w:rFonts w:ascii="Arial" w:eastAsia="Arial"/>
          <w:sz w:val="24"/>
        </w:rPr>
        <w:t>(</w:t>
      </w:r>
      <w:r>
        <w:rPr>
          <w:spacing w:val="-16"/>
          <w:sz w:val="24"/>
        </w:rPr>
        <w:t>即条款 </w:t>
      </w:r>
      <w:r>
        <w:rPr>
          <w:rFonts w:ascii="Arial" w:eastAsia="Arial"/>
          <w:sz w:val="24"/>
        </w:rPr>
        <w:t>2.1.1.2)</w:t>
      </w:r>
      <w:r>
        <w:rPr>
          <w:spacing w:val="-2"/>
          <w:sz w:val="24"/>
        </w:rPr>
        <w:t>两部分。</w:t>
      </w:r>
    </w:p>
    <w:p>
      <w:pPr>
        <w:pStyle w:val="Heading4"/>
        <w:numPr>
          <w:ilvl w:val="3"/>
          <w:numId w:val="20"/>
        </w:numPr>
        <w:tabs>
          <w:tab w:pos="1435" w:val="left" w:leader="none"/>
          <w:tab w:pos="1436" w:val="left" w:leader="none"/>
        </w:tabs>
        <w:spacing w:line="240" w:lineRule="auto" w:before="1" w:after="0"/>
        <w:ind w:left="1435" w:right="0" w:hanging="1135"/>
        <w:jc w:val="left"/>
      </w:pPr>
      <w:r>
        <w:rPr>
          <w:spacing w:val="-1"/>
        </w:rPr>
        <w:t>管理体系评审</w:t>
      </w:r>
    </w:p>
    <w:p>
      <w:pPr>
        <w:pStyle w:val="BodyText"/>
        <w:spacing w:before="96"/>
        <w:ind w:left="300"/>
      </w:pPr>
      <w:r>
        <w:rPr/>
        <w:pict>
          <v:line style="position:absolute;mso-position-horizontal-relative:page;mso-position-vertical-relative:paragraph;z-index:-47320" from="134.779999pt,25.080004pt" to="243.289999pt,83.520004pt" stroked="true" strokeweight=".48pt" strokecolor="#000000">
            <v:stroke dashstyle="solid"/>
            <w10:wrap type="none"/>
          </v:line>
        </w:pict>
      </w:r>
      <w:r>
        <w:rPr/>
        <w:t>表 </w:t>
      </w:r>
      <w:r>
        <w:rPr>
          <w:rFonts w:ascii="Arial" w:eastAsia="Arial"/>
        </w:rPr>
        <w:t>1</w:t>
      </w:r>
      <w:r>
        <w:rPr/>
        <w:t>：</w:t>
      </w:r>
    </w:p>
    <w:p>
      <w:pPr>
        <w:pStyle w:val="BodyText"/>
        <w:spacing w:before="2"/>
        <w:rPr>
          <w:sz w:val="6"/>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0"/>
        <w:gridCol w:w="1469"/>
        <w:gridCol w:w="1440"/>
        <w:gridCol w:w="1441"/>
      </w:tblGrid>
      <w:tr>
        <w:trPr>
          <w:trHeight w:val="1168" w:hRule="atLeast"/>
        </w:trPr>
        <w:tc>
          <w:tcPr>
            <w:tcW w:w="2180" w:type="dxa"/>
            <w:tcBorders>
              <w:left w:val="single" w:sz="4" w:space="0" w:color="000000"/>
              <w:bottom w:val="single" w:sz="4" w:space="0" w:color="000000"/>
              <w:right w:val="single" w:sz="4" w:space="0" w:color="000000"/>
            </w:tcBorders>
          </w:tcPr>
          <w:p>
            <w:pPr>
              <w:pStyle w:val="TableParagraph"/>
              <w:spacing w:line="302" w:lineRule="auto" w:before="4"/>
              <w:ind w:left="1375" w:right="41" w:hanging="236"/>
              <w:rPr>
                <w:sz w:val="24"/>
              </w:rPr>
            </w:pPr>
            <w:r>
              <w:rPr>
                <w:sz w:val="24"/>
              </w:rPr>
              <w:t>认证机构总人数</w:t>
            </w:r>
          </w:p>
          <w:p>
            <w:pPr>
              <w:pStyle w:val="TableParagraph"/>
              <w:spacing w:before="3"/>
              <w:ind w:left="330"/>
              <w:rPr>
                <w:sz w:val="24"/>
              </w:rPr>
            </w:pPr>
            <w:r>
              <w:rPr>
                <w:sz w:val="24"/>
              </w:rPr>
              <w:t>评审类型</w:t>
            </w:r>
          </w:p>
        </w:tc>
        <w:tc>
          <w:tcPr>
            <w:tcW w:w="1469"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445" w:right="440"/>
              <w:jc w:val="center"/>
              <w:rPr>
                <w:rFonts w:ascii="Arial" w:hAnsi="Arial"/>
                <w:sz w:val="24"/>
              </w:rPr>
            </w:pPr>
            <w:r>
              <w:rPr>
                <w:rFonts w:ascii="Arial" w:hAnsi="Arial"/>
                <w:sz w:val="24"/>
              </w:rPr>
              <w:t>≤150</w:t>
            </w:r>
          </w:p>
        </w:tc>
        <w:tc>
          <w:tcPr>
            <w:tcW w:w="1440"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257" w:right="249"/>
              <w:jc w:val="center"/>
              <w:rPr>
                <w:rFonts w:ascii="Arial"/>
                <w:sz w:val="24"/>
              </w:rPr>
            </w:pPr>
            <w:r>
              <w:rPr>
                <w:rFonts w:ascii="Arial"/>
                <w:sz w:val="24"/>
              </w:rPr>
              <w:t>150-300</w:t>
            </w:r>
          </w:p>
        </w:tc>
        <w:tc>
          <w:tcPr>
            <w:tcW w:w="1441" w:type="dxa"/>
            <w:tcBorders>
              <w:left w:val="single" w:sz="4" w:space="0" w:color="000000"/>
              <w:bottom w:val="single" w:sz="4" w:space="0" w:color="000000"/>
            </w:tcBorders>
          </w:tcPr>
          <w:p>
            <w:pPr>
              <w:pStyle w:val="TableParagraph"/>
              <w:spacing w:before="10"/>
              <w:rPr>
                <w:sz w:val="31"/>
              </w:rPr>
            </w:pPr>
          </w:p>
          <w:p>
            <w:pPr>
              <w:pStyle w:val="TableParagraph"/>
              <w:spacing w:before="1"/>
              <w:ind w:left="428" w:right="414"/>
              <w:jc w:val="center"/>
              <w:rPr>
                <w:rFonts w:ascii="Arial"/>
                <w:sz w:val="24"/>
              </w:rPr>
            </w:pPr>
            <w:r>
              <w:rPr>
                <w:rFonts w:ascii="Arial"/>
                <w:sz w:val="24"/>
              </w:rPr>
              <w:t>&gt;300</w:t>
            </w:r>
          </w:p>
        </w:tc>
      </w:tr>
      <w:tr>
        <w:trPr>
          <w:trHeight w:val="443"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31"/>
              <w:ind w:left="827" w:right="823"/>
              <w:jc w:val="center"/>
              <w:rPr>
                <w:sz w:val="24"/>
              </w:rPr>
            </w:pPr>
            <w:r>
              <w:rPr>
                <w:sz w:val="24"/>
              </w:rPr>
              <w:t>初评</w:t>
            </w:r>
          </w:p>
        </w:tc>
        <w:tc>
          <w:tcPr>
            <w:tcW w:w="1469" w:type="dxa"/>
            <w:tcBorders>
              <w:top w:val="single" w:sz="4" w:space="0" w:color="000000"/>
              <w:left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4</w:t>
            </w:r>
          </w:p>
        </w:tc>
        <w:tc>
          <w:tcPr>
            <w:tcW w:w="1440" w:type="dxa"/>
            <w:tcBorders>
              <w:top w:val="single" w:sz="4" w:space="0" w:color="000000"/>
              <w:left w:val="single" w:sz="4" w:space="0" w:color="000000"/>
              <w:right w:val="single" w:sz="4" w:space="0" w:color="000000"/>
            </w:tcBorders>
          </w:tcPr>
          <w:p>
            <w:pPr>
              <w:pStyle w:val="TableParagraph"/>
              <w:spacing w:before="46"/>
              <w:ind w:left="8"/>
              <w:jc w:val="center"/>
              <w:rPr>
                <w:rFonts w:ascii="Arial"/>
                <w:sz w:val="24"/>
              </w:rPr>
            </w:pPr>
            <w:r>
              <w:rPr>
                <w:rFonts w:ascii="Arial"/>
                <w:w w:val="99"/>
                <w:sz w:val="24"/>
              </w:rPr>
              <w:t>5</w:t>
            </w:r>
          </w:p>
        </w:tc>
        <w:tc>
          <w:tcPr>
            <w:tcW w:w="1441" w:type="dxa"/>
            <w:tcBorders>
              <w:top w:val="single" w:sz="4" w:space="0" w:color="000000"/>
              <w:left w:val="single" w:sz="4" w:space="0" w:color="000000"/>
            </w:tcBorders>
          </w:tcPr>
          <w:p>
            <w:pPr>
              <w:pStyle w:val="TableParagraph"/>
              <w:spacing w:before="46"/>
              <w:ind w:left="12"/>
              <w:jc w:val="center"/>
              <w:rPr>
                <w:rFonts w:ascii="Arial"/>
                <w:sz w:val="24"/>
              </w:rPr>
            </w:pPr>
            <w:r>
              <w:rPr>
                <w:rFonts w:ascii="Arial"/>
                <w:w w:val="99"/>
                <w:sz w:val="24"/>
              </w:rPr>
              <w:t>6</w:t>
            </w:r>
          </w:p>
        </w:tc>
      </w:tr>
    </w:tbl>
    <w:p>
      <w:pPr>
        <w:spacing w:after="0"/>
        <w:jc w:val="center"/>
        <w:rPr>
          <w:rFonts w:ascii="Arial"/>
          <w:sz w:val="24"/>
        </w:rPr>
        <w:sectPr>
          <w:type w:val="continuous"/>
          <w:pgSz w:w="11910" w:h="16850"/>
          <w:pgMar w:top="1580" w:bottom="1060" w:left="1260" w:right="1180"/>
        </w:sectPr>
      </w:pPr>
    </w:p>
    <w:p>
      <w:pPr>
        <w:pStyle w:val="BodyText"/>
        <w:spacing w:line="302" w:lineRule="auto" w:before="67"/>
        <w:ind w:left="1903" w:right="1542" w:hanging="471"/>
        <w:rPr>
          <w:rFonts w:ascii="仿宋" w:eastAsia="仿宋" w:hint="eastAsia"/>
        </w:rPr>
      </w:pPr>
      <w:r>
        <w:rPr>
          <w:rFonts w:ascii="仿宋" w:eastAsia="仿宋" w:hint="eastAsia"/>
        </w:rPr>
        <w:t>注：上述认证机构总人数包括认证机构聘用的专职人员和兼职人员。</w:t>
      </w:r>
    </w:p>
    <w:p>
      <w:pPr>
        <w:pStyle w:val="Heading4"/>
        <w:numPr>
          <w:ilvl w:val="3"/>
          <w:numId w:val="20"/>
        </w:numPr>
        <w:tabs>
          <w:tab w:pos="1435" w:val="left" w:leader="none"/>
          <w:tab w:pos="1436" w:val="left" w:leader="none"/>
        </w:tabs>
        <w:spacing w:line="240" w:lineRule="auto" w:before="1" w:after="0"/>
        <w:ind w:left="1435" w:right="0" w:hanging="1135"/>
        <w:jc w:val="left"/>
      </w:pPr>
      <w:r>
        <w:rPr>
          <w:spacing w:val="-3"/>
        </w:rPr>
        <w:t>人员认证制度开发和保持能力的评审</w:t>
      </w:r>
    </w:p>
    <w:p>
      <w:pPr>
        <w:pStyle w:val="BodyText"/>
        <w:spacing w:before="97"/>
        <w:ind w:left="300"/>
      </w:pPr>
      <w:r>
        <w:rPr/>
        <w:pict>
          <v:line style="position:absolute;mso-position-horizontal-relative:page;mso-position-vertical-relative:paragraph;z-index:-47296" from="149.419998pt,25.129982pt" to="284.089998pt,71.569982pt" stroked="true" strokeweight=".48pt" strokecolor="#000000">
            <v:stroke dashstyle="solid"/>
            <w10:wrap type="none"/>
          </v:line>
        </w:pict>
      </w:r>
      <w:r>
        <w:rPr/>
        <w:t>表 </w:t>
      </w:r>
      <w:r>
        <w:rPr>
          <w:rFonts w:ascii="Arial" w:eastAsia="Arial"/>
        </w:rPr>
        <w:t>2</w:t>
      </w:r>
      <w:r>
        <w:rPr/>
        <w:t>：</w:t>
      </w:r>
    </w:p>
    <w:p>
      <w:pPr>
        <w:pStyle w:val="BodyText"/>
        <w:spacing w:before="1"/>
        <w:rPr>
          <w:sz w:val="6"/>
        </w:rPr>
      </w:pPr>
    </w:p>
    <w:tbl>
      <w:tblPr>
        <w:tblW w:w="0" w:type="auto"/>
        <w:jc w:val="left"/>
        <w:tblInd w:w="1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03"/>
        <w:gridCol w:w="1080"/>
        <w:gridCol w:w="1080"/>
        <w:gridCol w:w="1081"/>
      </w:tblGrid>
      <w:tr>
        <w:trPr>
          <w:trHeight w:val="928" w:hRule="atLeast"/>
        </w:trPr>
        <w:tc>
          <w:tcPr>
            <w:tcW w:w="2703" w:type="dxa"/>
            <w:tcBorders>
              <w:left w:val="single" w:sz="4" w:space="0" w:color="000000"/>
              <w:bottom w:val="single" w:sz="4" w:space="0" w:color="000000"/>
              <w:right w:val="single" w:sz="4" w:space="0" w:color="000000"/>
            </w:tcBorders>
          </w:tcPr>
          <w:p>
            <w:pPr>
              <w:pStyle w:val="TableParagraph"/>
              <w:spacing w:before="3"/>
              <w:ind w:left="775"/>
              <w:rPr>
                <w:sz w:val="21"/>
              </w:rPr>
            </w:pPr>
            <w:r>
              <w:rPr>
                <w:sz w:val="21"/>
              </w:rPr>
              <w:t>人员认证制度类型数</w:t>
            </w:r>
          </w:p>
          <w:p>
            <w:pPr>
              <w:pStyle w:val="TableParagraph"/>
              <w:spacing w:before="70"/>
              <w:ind w:left="105"/>
              <w:rPr>
                <w:sz w:val="24"/>
              </w:rPr>
            </w:pPr>
            <w:r>
              <w:rPr>
                <w:sz w:val="24"/>
              </w:rPr>
              <w:t>评审类型</w:t>
            </w:r>
          </w:p>
        </w:tc>
        <w:tc>
          <w:tcPr>
            <w:tcW w:w="1080" w:type="dxa"/>
            <w:tcBorders>
              <w:left w:val="single" w:sz="4" w:space="0" w:color="000000"/>
              <w:bottom w:val="single" w:sz="4" w:space="0" w:color="000000"/>
              <w:right w:val="single" w:sz="4" w:space="0" w:color="000000"/>
            </w:tcBorders>
          </w:tcPr>
          <w:p>
            <w:pPr>
              <w:pStyle w:val="TableParagraph"/>
              <w:spacing w:before="6"/>
              <w:rPr>
                <w:sz w:val="22"/>
              </w:rPr>
            </w:pPr>
          </w:p>
          <w:p>
            <w:pPr>
              <w:pStyle w:val="TableParagraph"/>
              <w:ind w:left="403"/>
              <w:rPr>
                <w:rFonts w:ascii="Arial" w:hAnsi="Arial"/>
                <w:sz w:val="24"/>
              </w:rPr>
            </w:pPr>
            <w:r>
              <w:rPr>
                <w:rFonts w:ascii="Arial" w:hAnsi="Arial"/>
                <w:sz w:val="24"/>
              </w:rPr>
              <w:t>≤2</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6"/>
              <w:rPr>
                <w:sz w:val="22"/>
              </w:rPr>
            </w:pPr>
          </w:p>
          <w:p>
            <w:pPr>
              <w:pStyle w:val="TableParagraph"/>
              <w:ind w:left="362"/>
              <w:rPr>
                <w:rFonts w:ascii="Arial"/>
                <w:sz w:val="24"/>
              </w:rPr>
            </w:pPr>
            <w:r>
              <w:rPr>
                <w:rFonts w:ascii="Arial"/>
                <w:sz w:val="24"/>
              </w:rPr>
              <w:t>3-5</w:t>
            </w:r>
          </w:p>
        </w:tc>
        <w:tc>
          <w:tcPr>
            <w:tcW w:w="1081" w:type="dxa"/>
            <w:tcBorders>
              <w:left w:val="single" w:sz="4" w:space="0" w:color="000000"/>
              <w:bottom w:val="single" w:sz="4" w:space="0" w:color="000000"/>
            </w:tcBorders>
          </w:tcPr>
          <w:p>
            <w:pPr>
              <w:pStyle w:val="TableParagraph"/>
              <w:spacing w:before="6"/>
              <w:rPr>
                <w:sz w:val="22"/>
              </w:rPr>
            </w:pPr>
          </w:p>
          <w:p>
            <w:pPr>
              <w:pStyle w:val="TableParagraph"/>
              <w:ind w:left="278" w:right="266"/>
              <w:jc w:val="center"/>
              <w:rPr>
                <w:rFonts w:ascii="Arial"/>
                <w:sz w:val="24"/>
              </w:rPr>
            </w:pPr>
            <w:r>
              <w:rPr>
                <w:rFonts w:ascii="Arial"/>
                <w:sz w:val="24"/>
              </w:rPr>
              <w:t>6-10</w:t>
            </w:r>
          </w:p>
        </w:tc>
      </w:tr>
      <w:tr>
        <w:trPr>
          <w:trHeight w:val="438" w:hRule="atLeast"/>
        </w:trPr>
        <w:tc>
          <w:tcPr>
            <w:tcW w:w="2703" w:type="dxa"/>
            <w:tcBorders>
              <w:top w:val="single" w:sz="4" w:space="0" w:color="000000"/>
              <w:left w:val="single" w:sz="4" w:space="0" w:color="000000"/>
              <w:bottom w:val="single" w:sz="4" w:space="0" w:color="000000"/>
              <w:right w:val="single" w:sz="4" w:space="0" w:color="000000"/>
            </w:tcBorders>
          </w:tcPr>
          <w:p>
            <w:pPr>
              <w:pStyle w:val="TableParagraph"/>
              <w:spacing w:before="28"/>
              <w:ind w:left="1089" w:right="1084"/>
              <w:jc w:val="center"/>
              <w:rPr>
                <w:sz w:val="24"/>
              </w:rPr>
            </w:pPr>
            <w:r>
              <w:rPr>
                <w:sz w:val="24"/>
              </w:rPr>
              <w:t>初评</w:t>
            </w:r>
          </w:p>
        </w:tc>
        <w:tc>
          <w:tcPr>
            <w:tcW w:w="1080" w:type="dxa"/>
            <w:tcBorders>
              <w:top w:val="single" w:sz="4" w:space="0" w:color="000000"/>
              <w:left w:val="single" w:sz="4" w:space="0" w:color="000000"/>
              <w:right w:val="single" w:sz="4" w:space="0" w:color="000000"/>
            </w:tcBorders>
          </w:tcPr>
          <w:p>
            <w:pPr>
              <w:pStyle w:val="TableParagraph"/>
              <w:spacing w:before="46"/>
              <w:ind w:left="470"/>
              <w:rPr>
                <w:rFonts w:ascii="Arial"/>
                <w:sz w:val="24"/>
              </w:rPr>
            </w:pPr>
            <w:r>
              <w:rPr>
                <w:rFonts w:ascii="Arial"/>
                <w:w w:val="99"/>
                <w:sz w:val="24"/>
              </w:rPr>
              <w:t>2</w:t>
            </w:r>
          </w:p>
        </w:tc>
        <w:tc>
          <w:tcPr>
            <w:tcW w:w="1080" w:type="dxa"/>
            <w:tcBorders>
              <w:top w:val="single" w:sz="4" w:space="0" w:color="000000"/>
              <w:left w:val="single" w:sz="4" w:space="0" w:color="000000"/>
              <w:right w:val="single" w:sz="4" w:space="0" w:color="000000"/>
            </w:tcBorders>
          </w:tcPr>
          <w:p>
            <w:pPr>
              <w:pStyle w:val="TableParagraph"/>
              <w:spacing w:before="46"/>
              <w:ind w:left="362"/>
              <w:rPr>
                <w:rFonts w:ascii="Arial"/>
                <w:sz w:val="24"/>
              </w:rPr>
            </w:pPr>
            <w:r>
              <w:rPr>
                <w:rFonts w:ascii="Arial"/>
                <w:sz w:val="24"/>
              </w:rPr>
              <w:t>3-4</w:t>
            </w:r>
          </w:p>
        </w:tc>
        <w:tc>
          <w:tcPr>
            <w:tcW w:w="1081" w:type="dxa"/>
            <w:tcBorders>
              <w:top w:val="single" w:sz="4" w:space="0" w:color="000000"/>
              <w:left w:val="single" w:sz="4" w:space="0" w:color="000000"/>
            </w:tcBorders>
          </w:tcPr>
          <w:p>
            <w:pPr>
              <w:pStyle w:val="TableParagraph"/>
              <w:spacing w:before="46"/>
              <w:ind w:left="272" w:right="266"/>
              <w:jc w:val="center"/>
              <w:rPr>
                <w:rFonts w:ascii="Arial"/>
                <w:sz w:val="24"/>
              </w:rPr>
            </w:pPr>
            <w:r>
              <w:rPr>
                <w:rFonts w:ascii="Arial"/>
                <w:sz w:val="24"/>
              </w:rPr>
              <w:t>4-5</w:t>
            </w:r>
          </w:p>
        </w:tc>
      </w:tr>
    </w:tbl>
    <w:p>
      <w:pPr>
        <w:pStyle w:val="BodyText"/>
        <w:spacing w:before="1"/>
        <w:rPr>
          <w:sz w:val="32"/>
        </w:rPr>
      </w:pPr>
    </w:p>
    <w:p>
      <w:pPr>
        <w:pStyle w:val="BodyText"/>
        <w:spacing w:line="302" w:lineRule="auto" w:before="1"/>
        <w:ind w:left="300" w:right="373"/>
        <w:jc w:val="both"/>
      </w:pPr>
      <w:r>
        <w:rPr>
          <w:rFonts w:ascii="Arial" w:eastAsia="Arial"/>
        </w:rPr>
        <w:t>2.1.2</w:t>
      </w:r>
      <w:r>
        <w:rPr>
          <w:rFonts w:ascii="Arial" w:eastAsia="Arial"/>
          <w:spacing w:val="63"/>
        </w:rPr>
        <w:t> </w:t>
      </w:r>
      <w:r>
        <w:rPr/>
        <w:t>年度监督评审和复评人日数的确定时须考虑已颁发的人员认证证书数量</w:t>
      </w:r>
      <w:r>
        <w:rPr>
          <w:rFonts w:ascii="Arial" w:eastAsia="Arial"/>
          <w:spacing w:val="32"/>
        </w:rPr>
        <w:t>, </w:t>
      </w:r>
      <w:r>
        <w:rPr/>
        <w:t>监督</w:t>
      </w:r>
      <w:r>
        <w:rPr>
          <w:spacing w:val="-4"/>
        </w:rPr>
        <w:t>评审人日应至少是初次认可评审人日数的 </w:t>
      </w:r>
      <w:r>
        <w:rPr>
          <w:rFonts w:ascii="Arial" w:eastAsia="Arial"/>
        </w:rPr>
        <w:t>1/3</w:t>
      </w:r>
      <w:r>
        <w:rPr>
          <w:spacing w:val="-1"/>
        </w:rPr>
        <w:t>，复评评审人日应至少是初次认可评审</w:t>
      </w:r>
      <w:r>
        <w:rPr>
          <w:spacing w:val="-13"/>
        </w:rPr>
        <w:t>人日数的 </w:t>
      </w:r>
      <w:r>
        <w:rPr>
          <w:rFonts w:ascii="Arial" w:eastAsia="Arial"/>
        </w:rPr>
        <w:t>2/3</w:t>
      </w:r>
      <w:r>
        <w:rPr/>
        <w:t>。</w:t>
      </w:r>
    </w:p>
    <w:p>
      <w:pPr>
        <w:pStyle w:val="ListParagraph"/>
        <w:numPr>
          <w:ilvl w:val="1"/>
          <w:numId w:val="21"/>
        </w:numPr>
        <w:tabs>
          <w:tab w:pos="759" w:val="left" w:leader="none"/>
        </w:tabs>
        <w:spacing w:line="240" w:lineRule="auto" w:before="2" w:after="0"/>
        <w:ind w:left="758" w:right="0" w:hanging="458"/>
        <w:jc w:val="both"/>
        <w:rPr>
          <w:rFonts w:ascii="黑体" w:eastAsia="黑体" w:hint="eastAsia"/>
          <w:b/>
          <w:sz w:val="28"/>
        </w:rPr>
      </w:pPr>
      <w:r>
        <w:rPr>
          <w:rFonts w:ascii="黑体" w:eastAsia="黑体" w:hint="eastAsia"/>
          <w:b/>
          <w:sz w:val="28"/>
        </w:rPr>
        <w:t>多场所认证机构</w:t>
      </w:r>
    </w:p>
    <w:p>
      <w:pPr>
        <w:pStyle w:val="ListParagraph"/>
        <w:numPr>
          <w:ilvl w:val="2"/>
          <w:numId w:val="21"/>
        </w:numPr>
        <w:tabs>
          <w:tab w:pos="994" w:val="left" w:leader="none"/>
        </w:tabs>
        <w:spacing w:line="240" w:lineRule="auto" w:before="97" w:after="0"/>
        <w:ind w:left="994" w:right="0" w:hanging="694"/>
        <w:jc w:val="both"/>
        <w:rPr>
          <w:rFonts w:ascii="黑体" w:eastAsia="黑体" w:hint="eastAsia"/>
          <w:b/>
          <w:sz w:val="28"/>
        </w:rPr>
      </w:pPr>
      <w:r>
        <w:rPr>
          <w:rFonts w:ascii="黑体" w:eastAsia="黑体" w:hint="eastAsia"/>
          <w:b/>
          <w:sz w:val="28"/>
        </w:rPr>
        <w:t>总部</w:t>
      </w:r>
    </w:p>
    <w:p>
      <w:pPr>
        <w:pStyle w:val="BodyText"/>
        <w:spacing w:before="97"/>
        <w:ind w:left="780"/>
      </w:pPr>
      <w:r>
        <w:rPr/>
        <w:t>对总部的现场评审人日数按照本附件 </w:t>
      </w:r>
      <w:r>
        <w:rPr>
          <w:rFonts w:ascii="Arial" w:eastAsia="Arial"/>
        </w:rPr>
        <w:t>2.1 </w:t>
      </w:r>
      <w:r>
        <w:rPr/>
        <w:t>计算。</w:t>
      </w:r>
    </w:p>
    <w:p>
      <w:pPr>
        <w:pStyle w:val="Heading3"/>
        <w:numPr>
          <w:ilvl w:val="2"/>
          <w:numId w:val="21"/>
        </w:numPr>
        <w:tabs>
          <w:tab w:pos="1206" w:val="left" w:leader="none"/>
        </w:tabs>
        <w:spacing w:line="240" w:lineRule="auto" w:before="79" w:after="0"/>
        <w:ind w:left="1205" w:right="0" w:hanging="905"/>
        <w:jc w:val="both"/>
      </w:pPr>
      <w:r>
        <w:rPr/>
        <w:t>关键场所</w:t>
      </w:r>
    </w:p>
    <w:p>
      <w:pPr>
        <w:pStyle w:val="BodyText"/>
        <w:spacing w:line="304" w:lineRule="auto" w:before="97"/>
        <w:ind w:left="300" w:right="373" w:firstLine="479"/>
        <w:jc w:val="both"/>
      </w:pPr>
      <w:r>
        <w:rPr>
          <w:spacing w:val="-4"/>
        </w:rPr>
        <w:t>对关键场所的现场评审人日数核算见表 </w:t>
      </w:r>
      <w:r>
        <w:rPr>
          <w:rFonts w:ascii="Arial" w:eastAsia="Arial"/>
          <w:spacing w:val="-23"/>
        </w:rPr>
        <w:t>3</w:t>
      </w:r>
      <w:r>
        <w:rPr>
          <w:spacing w:val="-6"/>
        </w:rPr>
        <w:t>，该评审人日数包括管理体系评审和人员认证制度开发和保持能力的确认两部分。考虑各关键场所履行关键活动的具体情况</w:t>
      </w:r>
      <w:r>
        <w:rPr>
          <w:spacing w:val="-5"/>
        </w:rPr>
        <w:t>以及发证数量的多少，可在表 </w:t>
      </w:r>
      <w:r>
        <w:rPr/>
        <w:t>3</w:t>
      </w:r>
      <w:r>
        <w:rPr>
          <w:spacing w:val="-8"/>
        </w:rPr>
        <w:t> 所确定人日数的基础上适当增减。</w:t>
      </w:r>
    </w:p>
    <w:p>
      <w:pPr>
        <w:pStyle w:val="BodyText"/>
        <w:spacing w:line="303" w:lineRule="exact"/>
        <w:ind w:left="300"/>
        <w:jc w:val="both"/>
      </w:pPr>
      <w:r>
        <w:rPr/>
        <w:pict>
          <v:line style="position:absolute;mso-position-horizontal-relative:page;mso-position-vertical-relative:paragraph;z-index:-47272" from="134.779999pt,20.041237pt" to="243.289999pt,78.481237pt" stroked="true" strokeweight=".48pt" strokecolor="#000000">
            <v:stroke dashstyle="solid"/>
            <w10:wrap type="none"/>
          </v:line>
        </w:pict>
      </w:r>
      <w:r>
        <w:rPr/>
        <w:t>表 </w:t>
      </w:r>
      <w:r>
        <w:rPr>
          <w:rFonts w:ascii="Arial" w:eastAsia="Arial"/>
        </w:rPr>
        <w:t>3</w:t>
      </w:r>
      <w:r>
        <w:rPr/>
        <w:t>：</w:t>
      </w:r>
    </w:p>
    <w:p>
      <w:pPr>
        <w:pStyle w:val="BodyText"/>
        <w:spacing w:before="2"/>
        <w:rPr>
          <w:sz w:val="6"/>
        </w:rPr>
      </w:pPr>
    </w:p>
    <w:tbl>
      <w:tblPr>
        <w:tblW w:w="0" w:type="auto"/>
        <w:jc w:val="left"/>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0"/>
        <w:gridCol w:w="1469"/>
        <w:gridCol w:w="1440"/>
        <w:gridCol w:w="1441"/>
      </w:tblGrid>
      <w:tr>
        <w:trPr>
          <w:trHeight w:val="1168" w:hRule="atLeast"/>
        </w:trPr>
        <w:tc>
          <w:tcPr>
            <w:tcW w:w="2180" w:type="dxa"/>
            <w:tcBorders>
              <w:left w:val="single" w:sz="4" w:space="0" w:color="000000"/>
              <w:bottom w:val="single" w:sz="4" w:space="0" w:color="000000"/>
              <w:right w:val="single" w:sz="4" w:space="0" w:color="000000"/>
            </w:tcBorders>
          </w:tcPr>
          <w:p>
            <w:pPr>
              <w:pStyle w:val="TableParagraph"/>
              <w:spacing w:line="302" w:lineRule="auto" w:before="4"/>
              <w:ind w:left="1375" w:right="41" w:hanging="236"/>
              <w:rPr>
                <w:sz w:val="24"/>
              </w:rPr>
            </w:pPr>
            <w:r>
              <w:rPr>
                <w:sz w:val="24"/>
              </w:rPr>
              <w:t>关键场所总人数</w:t>
            </w:r>
          </w:p>
          <w:p>
            <w:pPr>
              <w:pStyle w:val="TableParagraph"/>
              <w:spacing w:before="3"/>
              <w:ind w:left="330"/>
              <w:rPr>
                <w:sz w:val="24"/>
              </w:rPr>
            </w:pPr>
            <w:r>
              <w:rPr>
                <w:sz w:val="24"/>
              </w:rPr>
              <w:t>评审类型</w:t>
            </w:r>
          </w:p>
        </w:tc>
        <w:tc>
          <w:tcPr>
            <w:tcW w:w="1469"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445" w:right="440"/>
              <w:jc w:val="center"/>
              <w:rPr>
                <w:rFonts w:ascii="Arial" w:hAnsi="Arial"/>
                <w:sz w:val="24"/>
              </w:rPr>
            </w:pPr>
            <w:r>
              <w:rPr>
                <w:rFonts w:ascii="Arial" w:hAnsi="Arial"/>
                <w:sz w:val="24"/>
              </w:rPr>
              <w:t>≤100</w:t>
            </w:r>
          </w:p>
        </w:tc>
        <w:tc>
          <w:tcPr>
            <w:tcW w:w="1440" w:type="dxa"/>
            <w:tcBorders>
              <w:left w:val="single" w:sz="4" w:space="0" w:color="000000"/>
              <w:bottom w:val="single" w:sz="4" w:space="0" w:color="000000"/>
              <w:right w:val="single" w:sz="4" w:space="0" w:color="000000"/>
            </w:tcBorders>
          </w:tcPr>
          <w:p>
            <w:pPr>
              <w:pStyle w:val="TableParagraph"/>
              <w:spacing w:before="10"/>
              <w:rPr>
                <w:sz w:val="31"/>
              </w:rPr>
            </w:pPr>
          </w:p>
          <w:p>
            <w:pPr>
              <w:pStyle w:val="TableParagraph"/>
              <w:spacing w:before="1"/>
              <w:ind w:left="257" w:right="249"/>
              <w:jc w:val="center"/>
              <w:rPr>
                <w:rFonts w:ascii="Arial"/>
                <w:sz w:val="24"/>
              </w:rPr>
            </w:pPr>
            <w:r>
              <w:rPr>
                <w:rFonts w:ascii="Arial"/>
                <w:sz w:val="24"/>
              </w:rPr>
              <w:t>101-200</w:t>
            </w:r>
          </w:p>
        </w:tc>
        <w:tc>
          <w:tcPr>
            <w:tcW w:w="1441" w:type="dxa"/>
            <w:tcBorders>
              <w:left w:val="single" w:sz="4" w:space="0" w:color="000000"/>
              <w:bottom w:val="single" w:sz="4" w:space="0" w:color="000000"/>
            </w:tcBorders>
          </w:tcPr>
          <w:p>
            <w:pPr>
              <w:pStyle w:val="TableParagraph"/>
              <w:spacing w:before="10"/>
              <w:rPr>
                <w:sz w:val="31"/>
              </w:rPr>
            </w:pPr>
          </w:p>
          <w:p>
            <w:pPr>
              <w:pStyle w:val="TableParagraph"/>
              <w:spacing w:before="1"/>
              <w:ind w:left="427" w:right="415"/>
              <w:jc w:val="center"/>
              <w:rPr>
                <w:rFonts w:ascii="Arial"/>
                <w:sz w:val="24"/>
              </w:rPr>
            </w:pPr>
            <w:r>
              <w:rPr>
                <w:rFonts w:ascii="Arial"/>
                <w:sz w:val="24"/>
              </w:rPr>
              <w:t>&gt;200</w:t>
            </w:r>
          </w:p>
        </w:tc>
      </w:tr>
      <w:tr>
        <w:trPr>
          <w:trHeight w:val="443" w:hRule="atLeast"/>
        </w:trPr>
        <w:tc>
          <w:tcPr>
            <w:tcW w:w="2180" w:type="dxa"/>
            <w:tcBorders>
              <w:top w:val="single" w:sz="4" w:space="0" w:color="000000"/>
              <w:left w:val="single" w:sz="4" w:space="0" w:color="000000"/>
              <w:bottom w:val="single" w:sz="4" w:space="0" w:color="000000"/>
              <w:right w:val="single" w:sz="4" w:space="0" w:color="000000"/>
            </w:tcBorders>
          </w:tcPr>
          <w:p>
            <w:pPr>
              <w:pStyle w:val="TableParagraph"/>
              <w:spacing w:before="31"/>
              <w:ind w:left="846"/>
              <w:rPr>
                <w:sz w:val="24"/>
              </w:rPr>
            </w:pPr>
            <w:r>
              <w:rPr>
                <w:sz w:val="24"/>
              </w:rPr>
              <w:t>初评</w:t>
            </w: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46"/>
              <w:ind w:left="3"/>
              <w:jc w:val="center"/>
              <w:rPr>
                <w:rFonts w:ascii="Arial"/>
                <w:sz w:val="24"/>
              </w:rPr>
            </w:pPr>
            <w:r>
              <w:rPr>
                <w:rFonts w:ascii="Arial"/>
                <w:w w:val="99"/>
                <w:sz w:val="24"/>
              </w:rPr>
              <w:t>3</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46"/>
              <w:ind w:left="256" w:right="249"/>
              <w:jc w:val="center"/>
              <w:rPr>
                <w:rFonts w:ascii="Arial"/>
                <w:sz w:val="24"/>
              </w:rPr>
            </w:pPr>
            <w:r>
              <w:rPr>
                <w:rFonts w:ascii="Arial"/>
                <w:sz w:val="24"/>
              </w:rPr>
              <w:t>3.5</w:t>
            </w:r>
          </w:p>
        </w:tc>
        <w:tc>
          <w:tcPr>
            <w:tcW w:w="1441" w:type="dxa"/>
            <w:tcBorders>
              <w:top w:val="single" w:sz="4" w:space="0" w:color="000000"/>
              <w:left w:val="single" w:sz="4" w:space="0" w:color="000000"/>
              <w:bottom w:val="single" w:sz="4" w:space="0" w:color="000000"/>
            </w:tcBorders>
          </w:tcPr>
          <w:p>
            <w:pPr>
              <w:pStyle w:val="TableParagraph"/>
              <w:spacing w:before="46"/>
              <w:ind w:left="12"/>
              <w:jc w:val="center"/>
              <w:rPr>
                <w:rFonts w:ascii="Arial"/>
                <w:sz w:val="24"/>
              </w:rPr>
            </w:pPr>
            <w:r>
              <w:rPr>
                <w:rFonts w:ascii="Arial"/>
                <w:w w:val="99"/>
                <w:sz w:val="24"/>
              </w:rPr>
              <w:t>4</w:t>
            </w:r>
          </w:p>
        </w:tc>
      </w:tr>
      <w:tr>
        <w:trPr>
          <w:trHeight w:val="441" w:hRule="atLeast"/>
        </w:trPr>
        <w:tc>
          <w:tcPr>
            <w:tcW w:w="2180" w:type="dxa"/>
            <w:tcBorders>
              <w:top w:val="single" w:sz="4" w:space="0" w:color="000000"/>
              <w:left w:val="single" w:sz="4" w:space="0" w:color="000000"/>
              <w:bottom w:val="single" w:sz="6" w:space="0" w:color="000000"/>
              <w:right w:val="single" w:sz="4" w:space="0" w:color="000000"/>
            </w:tcBorders>
          </w:tcPr>
          <w:p>
            <w:pPr>
              <w:pStyle w:val="TableParagraph"/>
              <w:spacing w:before="31"/>
              <w:ind w:left="846"/>
              <w:rPr>
                <w:sz w:val="24"/>
              </w:rPr>
            </w:pPr>
            <w:r>
              <w:rPr>
                <w:sz w:val="24"/>
              </w:rPr>
              <w:t>复评</w:t>
            </w:r>
          </w:p>
        </w:tc>
        <w:tc>
          <w:tcPr>
            <w:tcW w:w="1469" w:type="dxa"/>
            <w:tcBorders>
              <w:top w:val="single" w:sz="4" w:space="0" w:color="000000"/>
              <w:left w:val="single" w:sz="4" w:space="0" w:color="000000"/>
              <w:bottom w:val="single" w:sz="6" w:space="0" w:color="000000"/>
              <w:right w:val="single" w:sz="4" w:space="0" w:color="000000"/>
            </w:tcBorders>
          </w:tcPr>
          <w:p>
            <w:pPr>
              <w:pStyle w:val="TableParagraph"/>
              <w:spacing w:before="46"/>
              <w:ind w:left="3"/>
              <w:jc w:val="center"/>
              <w:rPr>
                <w:rFonts w:ascii="Arial"/>
                <w:sz w:val="24"/>
              </w:rPr>
            </w:pPr>
            <w:r>
              <w:rPr>
                <w:rFonts w:ascii="Arial"/>
                <w:w w:val="99"/>
                <w:sz w:val="24"/>
              </w:rPr>
              <w:t>2</w:t>
            </w:r>
          </w:p>
        </w:tc>
        <w:tc>
          <w:tcPr>
            <w:tcW w:w="1440" w:type="dxa"/>
            <w:tcBorders>
              <w:top w:val="single" w:sz="4" w:space="0" w:color="000000"/>
              <w:left w:val="single" w:sz="4" w:space="0" w:color="000000"/>
              <w:bottom w:val="single" w:sz="6" w:space="0" w:color="000000"/>
              <w:right w:val="single" w:sz="4" w:space="0" w:color="000000"/>
            </w:tcBorders>
          </w:tcPr>
          <w:p>
            <w:pPr>
              <w:pStyle w:val="TableParagraph"/>
              <w:spacing w:before="46"/>
              <w:ind w:left="256" w:right="249"/>
              <w:jc w:val="center"/>
              <w:rPr>
                <w:rFonts w:ascii="Arial"/>
                <w:sz w:val="24"/>
              </w:rPr>
            </w:pPr>
            <w:r>
              <w:rPr>
                <w:rFonts w:ascii="Arial"/>
                <w:sz w:val="24"/>
              </w:rPr>
              <w:t>2.5</w:t>
            </w:r>
          </w:p>
        </w:tc>
        <w:tc>
          <w:tcPr>
            <w:tcW w:w="1441" w:type="dxa"/>
            <w:tcBorders>
              <w:top w:val="single" w:sz="4" w:space="0" w:color="000000"/>
              <w:left w:val="single" w:sz="4" w:space="0" w:color="000000"/>
              <w:bottom w:val="single" w:sz="6" w:space="0" w:color="000000"/>
            </w:tcBorders>
          </w:tcPr>
          <w:p>
            <w:pPr>
              <w:pStyle w:val="TableParagraph"/>
              <w:spacing w:before="46"/>
              <w:ind w:left="12"/>
              <w:jc w:val="center"/>
              <w:rPr>
                <w:rFonts w:ascii="Arial"/>
                <w:sz w:val="24"/>
              </w:rPr>
            </w:pPr>
            <w:r>
              <w:rPr>
                <w:rFonts w:ascii="Arial"/>
                <w:w w:val="99"/>
                <w:sz w:val="24"/>
              </w:rPr>
              <w:t>3</w:t>
            </w:r>
          </w:p>
        </w:tc>
      </w:tr>
      <w:tr>
        <w:trPr>
          <w:trHeight w:val="443" w:hRule="atLeast"/>
        </w:trPr>
        <w:tc>
          <w:tcPr>
            <w:tcW w:w="2180" w:type="dxa"/>
            <w:tcBorders>
              <w:top w:val="single" w:sz="6" w:space="0" w:color="000000"/>
              <w:left w:val="single" w:sz="4" w:space="0" w:color="000000"/>
              <w:right w:val="single" w:sz="4" w:space="0" w:color="000000"/>
            </w:tcBorders>
          </w:tcPr>
          <w:p>
            <w:pPr>
              <w:pStyle w:val="TableParagraph"/>
              <w:spacing w:before="28"/>
              <w:ind w:left="846"/>
              <w:rPr>
                <w:sz w:val="24"/>
              </w:rPr>
            </w:pPr>
            <w:r>
              <w:rPr>
                <w:sz w:val="24"/>
              </w:rPr>
              <w:t>监督</w:t>
            </w:r>
          </w:p>
        </w:tc>
        <w:tc>
          <w:tcPr>
            <w:tcW w:w="1469" w:type="dxa"/>
            <w:tcBorders>
              <w:top w:val="single" w:sz="6" w:space="0" w:color="000000"/>
              <w:left w:val="single" w:sz="4" w:space="0" w:color="000000"/>
              <w:right w:val="single" w:sz="4" w:space="0" w:color="000000"/>
            </w:tcBorders>
          </w:tcPr>
          <w:p>
            <w:pPr>
              <w:pStyle w:val="TableParagraph"/>
              <w:spacing w:before="43"/>
              <w:ind w:left="442" w:right="440"/>
              <w:jc w:val="center"/>
              <w:rPr>
                <w:rFonts w:ascii="Arial"/>
                <w:sz w:val="24"/>
              </w:rPr>
            </w:pPr>
            <w:r>
              <w:rPr>
                <w:rFonts w:ascii="Arial"/>
                <w:sz w:val="24"/>
              </w:rPr>
              <w:t>1.5</w:t>
            </w:r>
          </w:p>
        </w:tc>
        <w:tc>
          <w:tcPr>
            <w:tcW w:w="1440" w:type="dxa"/>
            <w:tcBorders>
              <w:top w:val="single" w:sz="6" w:space="0" w:color="000000"/>
              <w:left w:val="single" w:sz="4" w:space="0" w:color="000000"/>
              <w:right w:val="single" w:sz="4" w:space="0" w:color="000000"/>
            </w:tcBorders>
          </w:tcPr>
          <w:p>
            <w:pPr>
              <w:pStyle w:val="TableParagraph"/>
              <w:spacing w:before="43"/>
              <w:ind w:left="8"/>
              <w:jc w:val="center"/>
              <w:rPr>
                <w:rFonts w:ascii="Arial"/>
                <w:sz w:val="24"/>
              </w:rPr>
            </w:pPr>
            <w:r>
              <w:rPr>
                <w:rFonts w:ascii="Arial"/>
                <w:w w:val="99"/>
                <w:sz w:val="24"/>
              </w:rPr>
              <w:t>2</w:t>
            </w:r>
          </w:p>
        </w:tc>
        <w:tc>
          <w:tcPr>
            <w:tcW w:w="1441" w:type="dxa"/>
            <w:tcBorders>
              <w:top w:val="single" w:sz="6" w:space="0" w:color="000000"/>
              <w:left w:val="single" w:sz="4" w:space="0" w:color="000000"/>
            </w:tcBorders>
          </w:tcPr>
          <w:p>
            <w:pPr>
              <w:pStyle w:val="TableParagraph"/>
              <w:spacing w:before="43"/>
              <w:ind w:left="426" w:right="415"/>
              <w:jc w:val="center"/>
              <w:rPr>
                <w:rFonts w:ascii="Arial"/>
                <w:sz w:val="24"/>
              </w:rPr>
            </w:pPr>
            <w:r>
              <w:rPr>
                <w:rFonts w:ascii="Arial"/>
                <w:sz w:val="24"/>
              </w:rPr>
              <w:t>2.5</w:t>
            </w:r>
          </w:p>
        </w:tc>
      </w:tr>
    </w:tbl>
    <w:p>
      <w:pPr>
        <w:pStyle w:val="BodyText"/>
        <w:spacing w:before="2"/>
        <w:ind w:left="1226"/>
        <w:rPr>
          <w:rFonts w:ascii="仿宋" w:eastAsia="仿宋" w:hint="eastAsia"/>
        </w:rPr>
      </w:pPr>
      <w:r>
        <w:rPr>
          <w:rFonts w:ascii="仿宋" w:eastAsia="仿宋" w:hint="eastAsia"/>
        </w:rPr>
        <w:t>注：上述关键场所总人数包括认证机构聘用的专职人员和兼职人员。</w:t>
      </w:r>
    </w:p>
    <w:p>
      <w:pPr>
        <w:pStyle w:val="BodyText"/>
        <w:rPr>
          <w:rFonts w:ascii="仿宋"/>
        </w:rPr>
      </w:pPr>
    </w:p>
    <w:p>
      <w:pPr>
        <w:pStyle w:val="Heading2"/>
        <w:numPr>
          <w:ilvl w:val="0"/>
          <w:numId w:val="21"/>
        </w:numPr>
        <w:tabs>
          <w:tab w:pos="769" w:val="left" w:leader="none"/>
        </w:tabs>
        <w:spacing w:line="240" w:lineRule="auto" w:before="201" w:after="0"/>
        <w:ind w:left="768" w:right="0" w:hanging="468"/>
        <w:jc w:val="both"/>
        <w:rPr>
          <w:rFonts w:ascii="Arial" w:eastAsia="Arial"/>
        </w:rPr>
      </w:pPr>
      <w:r>
        <w:rPr/>
        <w:t>见证评审</w:t>
      </w:r>
    </w:p>
    <w:p>
      <w:pPr>
        <w:pStyle w:val="BodyText"/>
        <w:spacing w:before="105"/>
        <w:ind w:left="780"/>
      </w:pPr>
      <w:r>
        <w:rPr/>
        <w:t>根据见证内容所需的实际评审人日计算。</w:t>
      </w:r>
    </w:p>
    <w:p>
      <w:pPr>
        <w:pStyle w:val="BodyText"/>
        <w:rPr>
          <w:sz w:val="33"/>
        </w:rPr>
      </w:pPr>
    </w:p>
    <w:p>
      <w:pPr>
        <w:pStyle w:val="Heading2"/>
        <w:numPr>
          <w:ilvl w:val="0"/>
          <w:numId w:val="21"/>
        </w:numPr>
        <w:tabs>
          <w:tab w:pos="769" w:val="left" w:leader="none"/>
        </w:tabs>
        <w:spacing w:line="240" w:lineRule="auto" w:before="0" w:after="0"/>
        <w:ind w:left="768" w:right="0" w:hanging="468"/>
        <w:jc w:val="both"/>
        <w:rPr>
          <w:rFonts w:ascii="Arial" w:eastAsia="Arial"/>
        </w:rPr>
      </w:pPr>
      <w:r>
        <w:rPr/>
        <w:t>不符合项验证</w:t>
      </w:r>
    </w:p>
    <w:p>
      <w:pPr>
        <w:pStyle w:val="BodyText"/>
        <w:spacing w:before="107"/>
        <w:ind w:left="780"/>
      </w:pPr>
      <w:r>
        <w:rPr/>
        <w:t>指对在评审中所发现的不符合项纠正情况的验证。不符合项验证的工作量按 </w:t>
      </w:r>
      <w:r>
        <w:rPr>
          <w:rFonts w:ascii="Arial" w:eastAsia="Arial"/>
        </w:rPr>
        <w:t>1</w:t>
      </w:r>
      <w:r>
        <w:rPr/>
        <w:t>～</w:t>
      </w:r>
    </w:p>
    <w:p>
      <w:pPr>
        <w:pStyle w:val="BodyText"/>
        <w:spacing w:before="82"/>
        <w:ind w:left="300"/>
        <w:jc w:val="both"/>
      </w:pPr>
      <w:r>
        <w:rPr>
          <w:rFonts w:ascii="Arial" w:eastAsia="Arial"/>
        </w:rPr>
        <w:t>2 </w:t>
      </w:r>
      <w:r>
        <w:rPr/>
        <w:t>个人日计算。</w:t>
      </w:r>
    </w:p>
    <w:p>
      <w:pPr>
        <w:spacing w:after="0"/>
        <w:jc w:val="both"/>
        <w:sectPr>
          <w:pgSz w:w="11910" w:h="16850"/>
          <w:pgMar w:header="876" w:footer="985" w:top="1340" w:bottom="1180" w:left="1260" w:right="1180"/>
        </w:sectPr>
      </w:pPr>
    </w:p>
    <w:p>
      <w:pPr>
        <w:pStyle w:val="Heading2"/>
        <w:spacing w:before="62"/>
        <w:ind w:left="300" w:firstLine="0"/>
      </w:pPr>
      <w:bookmarkStart w:name="_bookmark11" w:id="19"/>
      <w:bookmarkEnd w:id="19"/>
      <w:r>
        <w:rPr>
          <w:b w:val="0"/>
        </w:rPr>
      </w:r>
      <w:r>
        <w:rPr/>
        <w:t>附件 </w:t>
      </w:r>
      <w:r>
        <w:rPr>
          <w:rFonts w:ascii="Arial" w:eastAsia="Arial"/>
        </w:rPr>
        <w:t>4</w:t>
      </w:r>
      <w:r>
        <w:rPr/>
        <w:t>：</w:t>
      </w:r>
    </w:p>
    <w:p>
      <w:pPr>
        <w:spacing w:before="101"/>
        <w:ind w:left="1380" w:right="0" w:firstLine="0"/>
        <w:jc w:val="left"/>
        <w:rPr>
          <w:rFonts w:ascii="黑体" w:eastAsia="黑体" w:hint="eastAsia"/>
          <w:b/>
          <w:sz w:val="30"/>
        </w:rPr>
      </w:pPr>
      <w:r>
        <w:rPr>
          <w:rFonts w:ascii="黑体" w:eastAsia="黑体" w:hint="eastAsia"/>
          <w:b/>
          <w:sz w:val="30"/>
        </w:rPr>
        <w:t>基于其他认可制度的认证机构评审人日数核算方法</w:t>
      </w:r>
    </w:p>
    <w:p>
      <w:pPr>
        <w:pStyle w:val="BodyText"/>
        <w:spacing w:before="7"/>
        <w:rPr>
          <w:rFonts w:ascii="黑体"/>
          <w:b/>
          <w:sz w:val="31"/>
        </w:rPr>
      </w:pPr>
    </w:p>
    <w:p>
      <w:pPr>
        <w:pStyle w:val="ListParagraph"/>
        <w:numPr>
          <w:ilvl w:val="0"/>
          <w:numId w:val="22"/>
        </w:numPr>
        <w:tabs>
          <w:tab w:pos="553" w:val="left" w:leader="none"/>
        </w:tabs>
        <w:spacing w:line="240" w:lineRule="auto" w:before="1" w:after="0"/>
        <w:ind w:left="552" w:right="0" w:hanging="252"/>
        <w:jc w:val="left"/>
        <w:rPr>
          <w:rFonts w:ascii="黑体" w:eastAsia="黑体" w:hint="eastAsia"/>
          <w:b/>
          <w:sz w:val="30"/>
        </w:rPr>
      </w:pPr>
      <w:r>
        <w:rPr>
          <w:rFonts w:ascii="黑体" w:eastAsia="黑体" w:hint="eastAsia"/>
          <w:b/>
          <w:sz w:val="30"/>
        </w:rPr>
        <w:t>软件过程及能力成熟度评估机构认可评审人日数核算方法</w:t>
      </w:r>
    </w:p>
    <w:p>
      <w:pPr>
        <w:pStyle w:val="BodyText"/>
        <w:spacing w:line="302" w:lineRule="auto" w:before="107"/>
        <w:ind w:left="300" w:right="373" w:firstLine="479"/>
      </w:pPr>
      <w:r>
        <w:rPr>
          <w:spacing w:val="-3"/>
        </w:rPr>
        <w:t>软件过程及能力成熟度评估机构认可评审人日数的核算参照附件 </w:t>
      </w:r>
      <w:r>
        <w:rPr/>
        <w:t>1</w:t>
      </w:r>
      <w:r>
        <w:rPr>
          <w:spacing w:val="-25"/>
        </w:rPr>
        <w:t> 执行，并考虑</w:t>
      </w:r>
      <w:r>
        <w:rPr/>
        <w:t>本认可制度的特殊性进行适当增减。</w:t>
      </w:r>
    </w:p>
    <w:p>
      <w:pPr>
        <w:pStyle w:val="Heading2"/>
        <w:numPr>
          <w:ilvl w:val="0"/>
          <w:numId w:val="22"/>
        </w:numPr>
        <w:tabs>
          <w:tab w:pos="553" w:val="left" w:leader="none"/>
        </w:tabs>
        <w:spacing w:line="382" w:lineRule="exact" w:before="0" w:after="0"/>
        <w:ind w:left="552" w:right="0" w:hanging="252"/>
        <w:jc w:val="left"/>
      </w:pPr>
      <w:r>
        <w:rPr/>
        <w:t>其他认可制度下的认证机构评审人日数核算方法</w:t>
      </w:r>
    </w:p>
    <w:p>
      <w:pPr>
        <w:pStyle w:val="BodyText"/>
        <w:spacing w:line="304" w:lineRule="auto" w:before="105"/>
        <w:ind w:left="300" w:right="380" w:firstLine="479"/>
      </w:pPr>
      <w:r>
        <w:rPr/>
        <w:t>CNAS-ASC01</w:t>
      </w:r>
      <w:r>
        <w:rPr>
          <w:spacing w:val="-1"/>
        </w:rPr>
        <w:t> 中暂未提及的认可制度下的认证机构认可评审人日数核算方法，可</w:t>
      </w:r>
      <w:r>
        <w:rPr>
          <w:spacing w:val="-4"/>
        </w:rPr>
        <w:t>根据认可制度本身的特殊性参考附件 </w:t>
      </w:r>
      <w:r>
        <w:rPr/>
        <w:t>1</w:t>
      </w:r>
      <w:r>
        <w:rPr>
          <w:spacing w:val="-15"/>
        </w:rPr>
        <w:t>、附件 </w:t>
      </w:r>
      <w:r>
        <w:rPr/>
        <w:t>2</w:t>
      </w:r>
      <w:r>
        <w:rPr>
          <w:spacing w:val="-24"/>
        </w:rPr>
        <w:t> 或附件 </w:t>
      </w:r>
      <w:r>
        <w:rPr/>
        <w:t>3</w:t>
      </w:r>
      <w:r>
        <w:rPr>
          <w:spacing w:val="-8"/>
        </w:rPr>
        <w:t> 执行，并进行适当调整。</w:t>
      </w:r>
    </w:p>
    <w:p>
      <w:pPr>
        <w:spacing w:after="0" w:line="304" w:lineRule="auto"/>
        <w:sectPr>
          <w:pgSz w:w="11910" w:h="16850"/>
          <w:pgMar w:header="876" w:footer="985" w:top="1340" w:bottom="1180" w:left="1260" w:right="1180"/>
        </w:sectPr>
      </w:pPr>
    </w:p>
    <w:p>
      <w:pPr>
        <w:pStyle w:val="BodyText"/>
        <w:spacing w:before="9"/>
        <w:rPr>
          <w:sz w:val="15"/>
        </w:rPr>
      </w:pPr>
    </w:p>
    <w:p>
      <w:pPr>
        <w:spacing w:after="0"/>
        <w:rPr>
          <w:sz w:val="15"/>
        </w:rPr>
        <w:sectPr>
          <w:headerReference w:type="default" r:id="rId9"/>
          <w:footerReference w:type="default" r:id="rId10"/>
          <w:pgSz w:w="16840" w:h="11910" w:orient="landscape"/>
          <w:pgMar w:header="876" w:footer="985" w:top="1180" w:bottom="1180" w:left="1340" w:right="980"/>
          <w:pgNumType w:start="16"/>
        </w:sectPr>
      </w:pPr>
    </w:p>
    <w:p>
      <w:pPr>
        <w:pStyle w:val="BodyText"/>
        <w:spacing w:before="77"/>
        <w:ind w:left="220"/>
        <w:rPr>
          <w:rFonts w:ascii="黑体" w:eastAsia="黑体" w:hint="eastAsia"/>
        </w:rPr>
      </w:pPr>
      <w:bookmarkStart w:name="_bookmark12" w:id="20"/>
      <w:bookmarkEnd w:id="20"/>
      <w:r>
        <w:rPr/>
      </w:r>
      <w:r>
        <w:rPr>
          <w:rFonts w:ascii="黑体" w:eastAsia="黑体" w:hint="eastAsia"/>
          <w:spacing w:val="-21"/>
        </w:rPr>
        <w:t>附表 </w:t>
      </w:r>
      <w:r>
        <w:rPr>
          <w:rFonts w:ascii="Arial" w:eastAsia="Arial"/>
        </w:rPr>
        <w:t>1</w:t>
      </w:r>
      <w:r>
        <w:rPr>
          <w:rFonts w:ascii="黑体" w:eastAsia="黑体" w:hint="eastAsia"/>
        </w:rPr>
        <w:t>：</w:t>
      </w:r>
    </w:p>
    <w:p>
      <w:pPr>
        <w:pStyle w:val="BodyText"/>
        <w:spacing w:before="2"/>
        <w:rPr>
          <w:rFonts w:ascii="黑体"/>
          <w:sz w:val="33"/>
        </w:rPr>
      </w:pPr>
      <w:r>
        <w:rPr/>
        <w:br w:type="column"/>
      </w:r>
      <w:r>
        <w:rPr>
          <w:rFonts w:ascii="黑体"/>
          <w:sz w:val="33"/>
        </w:rPr>
      </w:r>
    </w:p>
    <w:p>
      <w:pPr>
        <w:pStyle w:val="Heading1"/>
        <w:tabs>
          <w:tab w:pos="2020" w:val="left" w:leader="none"/>
        </w:tabs>
      </w:pPr>
      <w:bookmarkStart w:name="_bookmark13" w:id="21"/>
      <w:bookmarkEnd w:id="21"/>
      <w:r>
        <w:rPr/>
      </w:r>
      <w:r>
        <w:rPr>
          <w:rFonts w:ascii="Times New Roman" w:eastAsia="Times New Roman"/>
          <w:u w:val="thick"/>
        </w:rPr>
        <w:t> </w:t>
        <w:tab/>
      </w:r>
      <w:r>
        <w:rPr/>
        <w:t>年度管理体系认可年度管理费交付核算表</w:t>
      </w:r>
    </w:p>
    <w:p>
      <w:pPr>
        <w:spacing w:after="0"/>
        <w:sectPr>
          <w:type w:val="continuous"/>
          <w:pgSz w:w="16840" w:h="11910" w:orient="landscape"/>
          <w:pgMar w:top="1580" w:bottom="1060" w:left="1340" w:right="980"/>
          <w:cols w:num="2" w:equalWidth="0">
            <w:col w:w="1175" w:space="1544"/>
            <w:col w:w="11801"/>
          </w:cols>
        </w:sectPr>
      </w:pPr>
    </w:p>
    <w:p>
      <w:pPr>
        <w:pStyle w:val="BodyText"/>
        <w:spacing w:before="162" w:after="44"/>
        <w:ind w:left="220"/>
      </w:pPr>
      <w:r>
        <w:rPr/>
        <w:pict>
          <v:line style="position:absolute;mso-position-horizontal-relative:page;mso-position-vertical-relative:paragraph;z-index:-47248" from="113.300003pt,26.099991pt" to="169.940003pt,64.979991pt" stroked="true" strokeweight=".48pt" strokecolor="#000000">
            <v:stroke dashstyle="solid"/>
            <w10:wrap type="none"/>
          </v:line>
        </w:pict>
      </w:r>
      <w:r>
        <w:rPr/>
        <w:t>认证机构名称：</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1142"/>
        <w:gridCol w:w="708"/>
        <w:gridCol w:w="852"/>
        <w:gridCol w:w="709"/>
        <w:gridCol w:w="711"/>
        <w:gridCol w:w="709"/>
        <w:gridCol w:w="992"/>
        <w:gridCol w:w="932"/>
        <w:gridCol w:w="915"/>
        <w:gridCol w:w="709"/>
        <w:gridCol w:w="992"/>
        <w:gridCol w:w="995"/>
        <w:gridCol w:w="850"/>
        <w:gridCol w:w="850"/>
        <w:gridCol w:w="1071"/>
      </w:tblGrid>
      <w:tr>
        <w:trPr>
          <w:trHeight w:val="777" w:hRule="atLeast"/>
        </w:trPr>
        <w:tc>
          <w:tcPr>
            <w:tcW w:w="809" w:type="dxa"/>
            <w:tcBorders>
              <w:bottom w:val="nil"/>
            </w:tcBorders>
          </w:tcPr>
          <w:p>
            <w:pPr>
              <w:pStyle w:val="TableParagraph"/>
              <w:rPr>
                <w:rFonts w:ascii="Times New Roman"/>
                <w:sz w:val="22"/>
              </w:rPr>
            </w:pPr>
          </w:p>
        </w:tc>
        <w:tc>
          <w:tcPr>
            <w:tcW w:w="1142" w:type="dxa"/>
          </w:tcPr>
          <w:p>
            <w:pPr>
              <w:pStyle w:val="TableParagraph"/>
              <w:spacing w:before="63"/>
              <w:ind w:left="192"/>
              <w:rPr>
                <w:b/>
                <w:sz w:val="21"/>
              </w:rPr>
            </w:pPr>
            <w:r>
              <w:rPr>
                <w:b/>
                <w:sz w:val="21"/>
              </w:rPr>
              <w:t>认可制度</w:t>
            </w:r>
          </w:p>
          <w:p>
            <w:pPr>
              <w:pStyle w:val="TableParagraph"/>
              <w:spacing w:line="267" w:lineRule="exact" w:before="158"/>
              <w:ind w:left="108"/>
              <w:rPr>
                <w:b/>
                <w:sz w:val="21"/>
              </w:rPr>
            </w:pPr>
            <w:r>
              <w:rPr>
                <w:b/>
                <w:sz w:val="21"/>
              </w:rPr>
              <w:t>类型</w:t>
            </w:r>
          </w:p>
        </w:tc>
        <w:tc>
          <w:tcPr>
            <w:tcW w:w="708" w:type="dxa"/>
          </w:tcPr>
          <w:p>
            <w:pPr>
              <w:pStyle w:val="TableParagraph"/>
              <w:spacing w:before="196"/>
              <w:ind w:left="173"/>
              <w:rPr>
                <w:b/>
                <w:sz w:val="24"/>
              </w:rPr>
            </w:pPr>
            <w:r>
              <w:rPr>
                <w:b/>
                <w:sz w:val="24"/>
              </w:rPr>
              <w:t>QMS</w:t>
            </w:r>
          </w:p>
        </w:tc>
        <w:tc>
          <w:tcPr>
            <w:tcW w:w="852" w:type="dxa"/>
          </w:tcPr>
          <w:p>
            <w:pPr>
              <w:pStyle w:val="TableParagraph"/>
              <w:spacing w:line="242" w:lineRule="auto" w:before="79"/>
              <w:ind w:left="182" w:right="172"/>
              <w:rPr>
                <w:b/>
                <w:sz w:val="24"/>
              </w:rPr>
            </w:pPr>
            <w:r>
              <w:rPr>
                <w:b/>
                <w:sz w:val="24"/>
              </w:rPr>
              <w:t>工程建设</w:t>
            </w:r>
          </w:p>
        </w:tc>
        <w:tc>
          <w:tcPr>
            <w:tcW w:w="709" w:type="dxa"/>
          </w:tcPr>
          <w:p>
            <w:pPr>
              <w:pStyle w:val="TableParagraph"/>
              <w:spacing w:line="242" w:lineRule="auto" w:before="79"/>
              <w:ind w:left="231" w:right="87" w:hanging="123"/>
              <w:rPr>
                <w:b/>
                <w:sz w:val="24"/>
              </w:rPr>
            </w:pPr>
            <w:r>
              <w:rPr>
                <w:b/>
                <w:sz w:val="24"/>
              </w:rPr>
              <w:t>TL90 00</w:t>
            </w:r>
          </w:p>
        </w:tc>
        <w:tc>
          <w:tcPr>
            <w:tcW w:w="711" w:type="dxa"/>
          </w:tcPr>
          <w:p>
            <w:pPr>
              <w:pStyle w:val="TableParagraph"/>
              <w:spacing w:before="196"/>
              <w:ind w:left="170"/>
              <w:rPr>
                <w:b/>
                <w:sz w:val="24"/>
              </w:rPr>
            </w:pPr>
            <w:r>
              <w:rPr>
                <w:b/>
                <w:sz w:val="24"/>
              </w:rPr>
              <w:t>EMS</w:t>
            </w:r>
          </w:p>
        </w:tc>
        <w:tc>
          <w:tcPr>
            <w:tcW w:w="709" w:type="dxa"/>
          </w:tcPr>
          <w:p>
            <w:pPr>
              <w:pStyle w:val="TableParagraph"/>
              <w:spacing w:before="196"/>
              <w:ind w:left="107"/>
              <w:rPr>
                <w:b/>
                <w:sz w:val="24"/>
              </w:rPr>
            </w:pPr>
            <w:r>
              <w:rPr>
                <w:b/>
                <w:sz w:val="24"/>
              </w:rPr>
              <w:t>EnMS</w:t>
            </w:r>
          </w:p>
        </w:tc>
        <w:tc>
          <w:tcPr>
            <w:tcW w:w="992" w:type="dxa"/>
          </w:tcPr>
          <w:p>
            <w:pPr>
              <w:pStyle w:val="TableParagraph"/>
              <w:spacing w:before="196"/>
              <w:ind w:left="187"/>
              <w:rPr>
                <w:b/>
                <w:sz w:val="24"/>
              </w:rPr>
            </w:pPr>
            <w:r>
              <w:rPr>
                <w:b/>
                <w:sz w:val="24"/>
              </w:rPr>
              <w:t>OHSMS</w:t>
            </w:r>
          </w:p>
        </w:tc>
        <w:tc>
          <w:tcPr>
            <w:tcW w:w="932" w:type="dxa"/>
          </w:tcPr>
          <w:p>
            <w:pPr>
              <w:pStyle w:val="TableParagraph"/>
              <w:spacing w:before="196"/>
              <w:ind w:left="220"/>
              <w:rPr>
                <w:b/>
                <w:sz w:val="24"/>
              </w:rPr>
            </w:pPr>
            <w:r>
              <w:rPr>
                <w:b/>
                <w:sz w:val="24"/>
              </w:rPr>
              <w:t>FSMS</w:t>
            </w:r>
          </w:p>
        </w:tc>
        <w:tc>
          <w:tcPr>
            <w:tcW w:w="915" w:type="dxa"/>
          </w:tcPr>
          <w:p>
            <w:pPr>
              <w:pStyle w:val="TableParagraph"/>
              <w:spacing w:before="196"/>
              <w:ind w:left="150"/>
              <w:rPr>
                <w:b/>
                <w:sz w:val="24"/>
              </w:rPr>
            </w:pPr>
            <w:r>
              <w:rPr>
                <w:b/>
                <w:sz w:val="24"/>
              </w:rPr>
              <w:t>HACCP</w:t>
            </w:r>
          </w:p>
        </w:tc>
        <w:tc>
          <w:tcPr>
            <w:tcW w:w="709" w:type="dxa"/>
          </w:tcPr>
          <w:p>
            <w:pPr>
              <w:pStyle w:val="TableParagraph"/>
              <w:spacing w:before="196"/>
              <w:ind w:left="166"/>
              <w:rPr>
                <w:b/>
                <w:sz w:val="24"/>
              </w:rPr>
            </w:pPr>
            <w:r>
              <w:rPr>
                <w:b/>
                <w:sz w:val="24"/>
              </w:rPr>
              <w:t>GMP</w:t>
            </w:r>
          </w:p>
        </w:tc>
        <w:tc>
          <w:tcPr>
            <w:tcW w:w="992" w:type="dxa"/>
          </w:tcPr>
          <w:p>
            <w:pPr>
              <w:pStyle w:val="TableParagraph"/>
              <w:spacing w:before="196"/>
              <w:ind w:left="245"/>
              <w:rPr>
                <w:b/>
                <w:sz w:val="24"/>
              </w:rPr>
            </w:pPr>
            <w:r>
              <w:rPr>
                <w:b/>
                <w:sz w:val="24"/>
              </w:rPr>
              <w:t>ISMS</w:t>
            </w:r>
          </w:p>
        </w:tc>
        <w:tc>
          <w:tcPr>
            <w:tcW w:w="995" w:type="dxa"/>
          </w:tcPr>
          <w:p>
            <w:pPr>
              <w:pStyle w:val="TableParagraph"/>
              <w:spacing w:before="2"/>
              <w:ind w:left="246"/>
              <w:rPr>
                <w:b/>
                <w:sz w:val="24"/>
              </w:rPr>
            </w:pPr>
            <w:r>
              <w:rPr>
                <w:b/>
                <w:sz w:val="24"/>
              </w:rPr>
              <w:t>SPCA</w:t>
            </w:r>
          </w:p>
          <w:p>
            <w:pPr>
              <w:pStyle w:val="TableParagraph"/>
              <w:spacing w:before="81"/>
              <w:ind w:left="186"/>
              <w:rPr>
                <w:b/>
                <w:sz w:val="24"/>
              </w:rPr>
            </w:pPr>
            <w:r>
              <w:rPr>
                <w:b/>
                <w:sz w:val="24"/>
              </w:rPr>
              <w:t>(CMM)</w:t>
            </w:r>
          </w:p>
        </w:tc>
        <w:tc>
          <w:tcPr>
            <w:tcW w:w="850" w:type="dxa"/>
          </w:tcPr>
          <w:p>
            <w:pPr>
              <w:pStyle w:val="TableParagraph"/>
              <w:spacing w:before="196"/>
              <w:ind w:left="113"/>
              <w:rPr>
                <w:b/>
                <w:sz w:val="24"/>
              </w:rPr>
            </w:pPr>
            <w:r>
              <w:rPr>
                <w:b/>
                <w:sz w:val="24"/>
              </w:rPr>
              <w:t>ITSMS</w:t>
            </w:r>
          </w:p>
        </w:tc>
        <w:tc>
          <w:tcPr>
            <w:tcW w:w="850" w:type="dxa"/>
          </w:tcPr>
          <w:p>
            <w:pPr>
              <w:pStyle w:val="TableParagraph"/>
              <w:rPr>
                <w:rFonts w:ascii="Times New Roman"/>
                <w:sz w:val="22"/>
              </w:rPr>
            </w:pPr>
          </w:p>
        </w:tc>
        <w:tc>
          <w:tcPr>
            <w:tcW w:w="1071" w:type="dxa"/>
          </w:tcPr>
          <w:p>
            <w:pPr>
              <w:pStyle w:val="TableParagraph"/>
              <w:spacing w:before="196"/>
              <w:ind w:left="98"/>
              <w:rPr>
                <w:b/>
                <w:sz w:val="24"/>
              </w:rPr>
            </w:pPr>
            <w:r>
              <w:rPr>
                <w:b/>
                <w:sz w:val="24"/>
              </w:rPr>
              <w:t>合计</w:t>
            </w:r>
          </w:p>
        </w:tc>
      </w:tr>
      <w:tr>
        <w:trPr>
          <w:trHeight w:val="336" w:hRule="atLeast"/>
        </w:trPr>
        <w:tc>
          <w:tcPr>
            <w:tcW w:w="809" w:type="dxa"/>
            <w:tcBorders>
              <w:top w:val="nil"/>
              <w:bottom w:val="nil"/>
            </w:tcBorders>
          </w:tcPr>
          <w:p>
            <w:pPr>
              <w:pStyle w:val="TableParagraph"/>
              <w:spacing w:line="301" w:lineRule="exact"/>
              <w:ind w:right="273"/>
              <w:jc w:val="right"/>
              <w:rPr>
                <w:sz w:val="24"/>
              </w:rPr>
            </w:pPr>
            <w:r>
              <w:rPr>
                <w:sz w:val="24"/>
              </w:rPr>
              <w:t>证</w:t>
            </w:r>
          </w:p>
        </w:tc>
        <w:tc>
          <w:tcPr>
            <w:tcW w:w="1142" w:type="dxa"/>
            <w:vMerge w:val="restart"/>
          </w:tcPr>
          <w:p>
            <w:pPr>
              <w:pStyle w:val="TableParagraph"/>
              <w:spacing w:before="96"/>
              <w:ind w:left="108"/>
              <w:rPr>
                <w:sz w:val="24"/>
              </w:rPr>
            </w:pPr>
            <w:r>
              <w:rPr>
                <w:sz w:val="24"/>
              </w:rPr>
              <w:t>初评</w:t>
            </w:r>
          </w:p>
        </w:tc>
        <w:tc>
          <w:tcPr>
            <w:tcW w:w="708" w:type="dxa"/>
            <w:vMerge w:val="restart"/>
          </w:tcPr>
          <w:p>
            <w:pPr>
              <w:pStyle w:val="TableParagraph"/>
              <w:rPr>
                <w:rFonts w:ascii="Times New Roman"/>
                <w:sz w:val="22"/>
              </w:rPr>
            </w:pPr>
          </w:p>
        </w:tc>
        <w:tc>
          <w:tcPr>
            <w:tcW w:w="852"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711"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32" w:type="dxa"/>
            <w:vMerge w:val="restart"/>
          </w:tcPr>
          <w:p>
            <w:pPr>
              <w:pStyle w:val="TableParagraph"/>
              <w:rPr>
                <w:rFonts w:ascii="Times New Roman"/>
                <w:sz w:val="22"/>
              </w:rPr>
            </w:pPr>
          </w:p>
        </w:tc>
        <w:tc>
          <w:tcPr>
            <w:tcW w:w="915"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95"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1071" w:type="dxa"/>
            <w:vMerge w:val="restart"/>
          </w:tcPr>
          <w:p>
            <w:pPr>
              <w:pStyle w:val="TableParagraph"/>
              <w:spacing w:before="96"/>
              <w:ind w:left="98"/>
              <w:rPr>
                <w:sz w:val="24"/>
              </w:rPr>
            </w:pPr>
            <w:r>
              <w:rPr>
                <w:sz w:val="24"/>
              </w:rPr>
              <w:t>C1</w:t>
            </w:r>
          </w:p>
        </w:tc>
      </w:tr>
      <w:tr>
        <w:trPr>
          <w:trHeight w:val="229" w:hRule="atLeast"/>
        </w:trPr>
        <w:tc>
          <w:tcPr>
            <w:tcW w:w="809" w:type="dxa"/>
            <w:vMerge w:val="restart"/>
            <w:tcBorders>
              <w:top w:val="nil"/>
              <w:bottom w:val="nil"/>
            </w:tcBorders>
          </w:tcPr>
          <w:p>
            <w:pPr>
              <w:pStyle w:val="TableParagraph"/>
              <w:spacing w:before="35"/>
              <w:ind w:left="7"/>
              <w:jc w:val="center"/>
              <w:rPr>
                <w:sz w:val="24"/>
              </w:rPr>
            </w:pPr>
            <w:r>
              <w:rPr>
                <w:sz w:val="24"/>
              </w:rPr>
              <w:t>书</w:t>
            </w:r>
          </w:p>
        </w:tc>
        <w:tc>
          <w:tcPr>
            <w:tcW w:w="1142" w:type="dxa"/>
            <w:vMerge/>
            <w:tcBorders>
              <w:top w:val="nil"/>
            </w:tcBorders>
          </w:tcPr>
          <w:p>
            <w:pPr>
              <w:rPr>
                <w:sz w:val="2"/>
                <w:szCs w:val="2"/>
              </w:rPr>
            </w:pPr>
          </w:p>
        </w:tc>
        <w:tc>
          <w:tcPr>
            <w:tcW w:w="708" w:type="dxa"/>
            <w:vMerge/>
            <w:tcBorders>
              <w:top w:val="nil"/>
            </w:tcBorders>
          </w:tcPr>
          <w:p>
            <w:pPr>
              <w:rPr>
                <w:sz w:val="2"/>
                <w:szCs w:val="2"/>
              </w:rPr>
            </w:pPr>
          </w:p>
        </w:tc>
        <w:tc>
          <w:tcPr>
            <w:tcW w:w="852" w:type="dxa"/>
            <w:vMerge/>
            <w:tcBorders>
              <w:top w:val="nil"/>
            </w:tcBorders>
          </w:tcPr>
          <w:p>
            <w:pPr>
              <w:rPr>
                <w:sz w:val="2"/>
                <w:szCs w:val="2"/>
              </w:rPr>
            </w:pPr>
          </w:p>
        </w:tc>
        <w:tc>
          <w:tcPr>
            <w:tcW w:w="709"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32" w:type="dxa"/>
            <w:vMerge/>
            <w:tcBorders>
              <w:top w:val="nil"/>
            </w:tcBorders>
          </w:tcPr>
          <w:p>
            <w:pPr>
              <w:rPr>
                <w:sz w:val="2"/>
                <w:szCs w:val="2"/>
              </w:rPr>
            </w:pPr>
          </w:p>
        </w:tc>
        <w:tc>
          <w:tcPr>
            <w:tcW w:w="915"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95" w:type="dxa"/>
            <w:vMerge/>
            <w:tcBorders>
              <w:top w:val="nil"/>
            </w:tcBorders>
          </w:tcPr>
          <w:p>
            <w:pPr>
              <w:rPr>
                <w:sz w:val="2"/>
                <w:szCs w:val="2"/>
              </w:rPr>
            </w:pPr>
          </w:p>
        </w:tc>
        <w:tc>
          <w:tcPr>
            <w:tcW w:w="850" w:type="dxa"/>
            <w:vMerge/>
            <w:tcBorders>
              <w:top w:val="nil"/>
            </w:tcBorders>
          </w:tcPr>
          <w:p>
            <w:pPr>
              <w:rPr>
                <w:sz w:val="2"/>
                <w:szCs w:val="2"/>
              </w:rPr>
            </w:pPr>
          </w:p>
        </w:tc>
        <w:tc>
          <w:tcPr>
            <w:tcW w:w="850" w:type="dxa"/>
            <w:vMerge/>
            <w:tcBorders>
              <w:top w:val="nil"/>
            </w:tcBorders>
          </w:tcPr>
          <w:p>
            <w:pPr>
              <w:rPr>
                <w:sz w:val="2"/>
                <w:szCs w:val="2"/>
              </w:rPr>
            </w:pPr>
          </w:p>
        </w:tc>
        <w:tc>
          <w:tcPr>
            <w:tcW w:w="1071" w:type="dxa"/>
            <w:vMerge/>
            <w:tcBorders>
              <w:top w:val="nil"/>
            </w:tcBorders>
          </w:tcPr>
          <w:p>
            <w:pPr>
              <w:rPr>
                <w:sz w:val="2"/>
                <w:szCs w:val="2"/>
              </w:rPr>
            </w:pPr>
          </w:p>
        </w:tc>
      </w:tr>
      <w:tr>
        <w:trPr>
          <w:trHeight w:val="140" w:hRule="atLeast"/>
        </w:trPr>
        <w:tc>
          <w:tcPr>
            <w:tcW w:w="809" w:type="dxa"/>
            <w:vMerge/>
            <w:tcBorders>
              <w:top w:val="nil"/>
              <w:bottom w:val="nil"/>
            </w:tcBorders>
          </w:tcPr>
          <w:p>
            <w:pPr>
              <w:rPr>
                <w:sz w:val="2"/>
                <w:szCs w:val="2"/>
              </w:rPr>
            </w:pPr>
          </w:p>
        </w:tc>
        <w:tc>
          <w:tcPr>
            <w:tcW w:w="1142" w:type="dxa"/>
            <w:vMerge w:val="restart"/>
          </w:tcPr>
          <w:p>
            <w:pPr>
              <w:pStyle w:val="TableParagraph"/>
              <w:spacing w:before="93"/>
              <w:ind w:left="108"/>
              <w:rPr>
                <w:sz w:val="24"/>
              </w:rPr>
            </w:pPr>
            <w:r>
              <w:rPr>
                <w:sz w:val="24"/>
              </w:rPr>
              <w:t>监督</w:t>
            </w:r>
          </w:p>
        </w:tc>
        <w:tc>
          <w:tcPr>
            <w:tcW w:w="708" w:type="dxa"/>
            <w:vMerge w:val="restart"/>
          </w:tcPr>
          <w:p>
            <w:pPr>
              <w:pStyle w:val="TableParagraph"/>
              <w:rPr>
                <w:rFonts w:ascii="Times New Roman"/>
                <w:sz w:val="22"/>
              </w:rPr>
            </w:pPr>
          </w:p>
        </w:tc>
        <w:tc>
          <w:tcPr>
            <w:tcW w:w="852"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711"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32" w:type="dxa"/>
            <w:vMerge w:val="restart"/>
          </w:tcPr>
          <w:p>
            <w:pPr>
              <w:pStyle w:val="TableParagraph"/>
              <w:rPr>
                <w:rFonts w:ascii="Times New Roman"/>
                <w:sz w:val="22"/>
              </w:rPr>
            </w:pPr>
          </w:p>
        </w:tc>
        <w:tc>
          <w:tcPr>
            <w:tcW w:w="915"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95"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1071" w:type="dxa"/>
            <w:vMerge w:val="restart"/>
          </w:tcPr>
          <w:p>
            <w:pPr>
              <w:pStyle w:val="TableParagraph"/>
              <w:spacing w:before="93"/>
              <w:ind w:left="98"/>
              <w:rPr>
                <w:sz w:val="24"/>
              </w:rPr>
            </w:pPr>
            <w:r>
              <w:rPr>
                <w:sz w:val="24"/>
              </w:rPr>
              <w:t>C2</w:t>
            </w:r>
          </w:p>
        </w:tc>
      </w:tr>
      <w:tr>
        <w:trPr>
          <w:trHeight w:val="425" w:hRule="atLeast"/>
        </w:trPr>
        <w:tc>
          <w:tcPr>
            <w:tcW w:w="809" w:type="dxa"/>
            <w:tcBorders>
              <w:top w:val="nil"/>
              <w:bottom w:val="nil"/>
            </w:tcBorders>
          </w:tcPr>
          <w:p>
            <w:pPr>
              <w:pStyle w:val="TableParagraph"/>
              <w:spacing w:before="37"/>
              <w:ind w:right="273"/>
              <w:jc w:val="right"/>
              <w:rPr>
                <w:sz w:val="24"/>
              </w:rPr>
            </w:pPr>
            <w:r>
              <w:rPr>
                <w:sz w:val="24"/>
              </w:rPr>
              <w:t>数</w:t>
            </w:r>
          </w:p>
        </w:tc>
        <w:tc>
          <w:tcPr>
            <w:tcW w:w="1142" w:type="dxa"/>
            <w:vMerge/>
            <w:tcBorders>
              <w:top w:val="nil"/>
            </w:tcBorders>
          </w:tcPr>
          <w:p>
            <w:pPr>
              <w:rPr>
                <w:sz w:val="2"/>
                <w:szCs w:val="2"/>
              </w:rPr>
            </w:pPr>
          </w:p>
        </w:tc>
        <w:tc>
          <w:tcPr>
            <w:tcW w:w="708" w:type="dxa"/>
            <w:vMerge/>
            <w:tcBorders>
              <w:top w:val="nil"/>
            </w:tcBorders>
          </w:tcPr>
          <w:p>
            <w:pPr>
              <w:rPr>
                <w:sz w:val="2"/>
                <w:szCs w:val="2"/>
              </w:rPr>
            </w:pPr>
          </w:p>
        </w:tc>
        <w:tc>
          <w:tcPr>
            <w:tcW w:w="852" w:type="dxa"/>
            <w:vMerge/>
            <w:tcBorders>
              <w:top w:val="nil"/>
            </w:tcBorders>
          </w:tcPr>
          <w:p>
            <w:pPr>
              <w:rPr>
                <w:sz w:val="2"/>
                <w:szCs w:val="2"/>
              </w:rPr>
            </w:pPr>
          </w:p>
        </w:tc>
        <w:tc>
          <w:tcPr>
            <w:tcW w:w="709"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32" w:type="dxa"/>
            <w:vMerge/>
            <w:tcBorders>
              <w:top w:val="nil"/>
            </w:tcBorders>
          </w:tcPr>
          <w:p>
            <w:pPr>
              <w:rPr>
                <w:sz w:val="2"/>
                <w:szCs w:val="2"/>
              </w:rPr>
            </w:pPr>
          </w:p>
        </w:tc>
        <w:tc>
          <w:tcPr>
            <w:tcW w:w="915"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95" w:type="dxa"/>
            <w:vMerge/>
            <w:tcBorders>
              <w:top w:val="nil"/>
            </w:tcBorders>
          </w:tcPr>
          <w:p>
            <w:pPr>
              <w:rPr>
                <w:sz w:val="2"/>
                <w:szCs w:val="2"/>
              </w:rPr>
            </w:pPr>
          </w:p>
        </w:tc>
        <w:tc>
          <w:tcPr>
            <w:tcW w:w="850" w:type="dxa"/>
            <w:vMerge/>
            <w:tcBorders>
              <w:top w:val="nil"/>
            </w:tcBorders>
          </w:tcPr>
          <w:p>
            <w:pPr>
              <w:rPr>
                <w:sz w:val="2"/>
                <w:szCs w:val="2"/>
              </w:rPr>
            </w:pPr>
          </w:p>
        </w:tc>
        <w:tc>
          <w:tcPr>
            <w:tcW w:w="850" w:type="dxa"/>
            <w:vMerge/>
            <w:tcBorders>
              <w:top w:val="nil"/>
            </w:tcBorders>
          </w:tcPr>
          <w:p>
            <w:pPr>
              <w:rPr>
                <w:sz w:val="2"/>
                <w:szCs w:val="2"/>
              </w:rPr>
            </w:pPr>
          </w:p>
        </w:tc>
        <w:tc>
          <w:tcPr>
            <w:tcW w:w="1071" w:type="dxa"/>
            <w:vMerge/>
            <w:tcBorders>
              <w:top w:val="nil"/>
            </w:tcBorders>
          </w:tcPr>
          <w:p>
            <w:pPr>
              <w:rPr>
                <w:sz w:val="2"/>
                <w:szCs w:val="2"/>
              </w:rPr>
            </w:pPr>
          </w:p>
        </w:tc>
      </w:tr>
      <w:tr>
        <w:trPr>
          <w:trHeight w:val="333" w:hRule="atLeast"/>
        </w:trPr>
        <w:tc>
          <w:tcPr>
            <w:tcW w:w="809" w:type="dxa"/>
            <w:tcBorders>
              <w:top w:val="nil"/>
              <w:bottom w:val="nil"/>
            </w:tcBorders>
          </w:tcPr>
          <w:p>
            <w:pPr>
              <w:pStyle w:val="TableParagraph"/>
              <w:spacing w:line="298" w:lineRule="exact"/>
              <w:ind w:right="273"/>
              <w:jc w:val="right"/>
              <w:rPr>
                <w:sz w:val="24"/>
              </w:rPr>
            </w:pPr>
            <w:r>
              <w:rPr>
                <w:sz w:val="24"/>
              </w:rPr>
              <w:t>量</w:t>
            </w:r>
          </w:p>
        </w:tc>
        <w:tc>
          <w:tcPr>
            <w:tcW w:w="1142" w:type="dxa"/>
            <w:vMerge w:val="restart"/>
          </w:tcPr>
          <w:p>
            <w:pPr>
              <w:pStyle w:val="TableParagraph"/>
              <w:spacing w:before="93"/>
              <w:ind w:left="108"/>
              <w:rPr>
                <w:sz w:val="24"/>
              </w:rPr>
            </w:pPr>
            <w:r>
              <w:rPr>
                <w:sz w:val="24"/>
              </w:rPr>
              <w:t>再认证</w:t>
            </w:r>
          </w:p>
        </w:tc>
        <w:tc>
          <w:tcPr>
            <w:tcW w:w="708" w:type="dxa"/>
            <w:vMerge w:val="restart"/>
          </w:tcPr>
          <w:p>
            <w:pPr>
              <w:pStyle w:val="TableParagraph"/>
              <w:rPr>
                <w:rFonts w:ascii="Times New Roman"/>
                <w:sz w:val="22"/>
              </w:rPr>
            </w:pPr>
          </w:p>
        </w:tc>
        <w:tc>
          <w:tcPr>
            <w:tcW w:w="852"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711"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32" w:type="dxa"/>
            <w:vMerge w:val="restart"/>
          </w:tcPr>
          <w:p>
            <w:pPr>
              <w:pStyle w:val="TableParagraph"/>
              <w:rPr>
                <w:rFonts w:ascii="Times New Roman"/>
                <w:sz w:val="22"/>
              </w:rPr>
            </w:pPr>
          </w:p>
        </w:tc>
        <w:tc>
          <w:tcPr>
            <w:tcW w:w="915"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95"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1071" w:type="dxa"/>
            <w:vMerge w:val="restart"/>
          </w:tcPr>
          <w:p>
            <w:pPr>
              <w:pStyle w:val="TableParagraph"/>
              <w:spacing w:before="93"/>
              <w:ind w:left="98"/>
              <w:rPr>
                <w:sz w:val="24"/>
              </w:rPr>
            </w:pPr>
            <w:r>
              <w:rPr>
                <w:sz w:val="24"/>
              </w:rPr>
              <w:t>C3</w:t>
            </w:r>
          </w:p>
        </w:tc>
      </w:tr>
      <w:tr>
        <w:trPr>
          <w:trHeight w:val="232" w:hRule="atLeast"/>
        </w:trPr>
        <w:tc>
          <w:tcPr>
            <w:tcW w:w="809" w:type="dxa"/>
            <w:vMerge w:val="restart"/>
            <w:tcBorders>
              <w:top w:val="nil"/>
              <w:bottom w:val="nil"/>
            </w:tcBorders>
          </w:tcPr>
          <w:p>
            <w:pPr>
              <w:pStyle w:val="TableParagraph"/>
              <w:spacing w:before="35"/>
              <w:ind w:left="163"/>
              <w:rPr>
                <w:sz w:val="24"/>
              </w:rPr>
            </w:pPr>
            <w:r>
              <w:rPr>
                <w:sz w:val="24"/>
              </w:rPr>
              <w:t>（张</w:t>
            </w:r>
          </w:p>
        </w:tc>
        <w:tc>
          <w:tcPr>
            <w:tcW w:w="1142" w:type="dxa"/>
            <w:vMerge/>
            <w:tcBorders>
              <w:top w:val="nil"/>
            </w:tcBorders>
          </w:tcPr>
          <w:p>
            <w:pPr>
              <w:rPr>
                <w:sz w:val="2"/>
                <w:szCs w:val="2"/>
              </w:rPr>
            </w:pPr>
          </w:p>
        </w:tc>
        <w:tc>
          <w:tcPr>
            <w:tcW w:w="708" w:type="dxa"/>
            <w:vMerge/>
            <w:tcBorders>
              <w:top w:val="nil"/>
            </w:tcBorders>
          </w:tcPr>
          <w:p>
            <w:pPr>
              <w:rPr>
                <w:sz w:val="2"/>
                <w:szCs w:val="2"/>
              </w:rPr>
            </w:pPr>
          </w:p>
        </w:tc>
        <w:tc>
          <w:tcPr>
            <w:tcW w:w="852" w:type="dxa"/>
            <w:vMerge/>
            <w:tcBorders>
              <w:top w:val="nil"/>
            </w:tcBorders>
          </w:tcPr>
          <w:p>
            <w:pPr>
              <w:rPr>
                <w:sz w:val="2"/>
                <w:szCs w:val="2"/>
              </w:rPr>
            </w:pPr>
          </w:p>
        </w:tc>
        <w:tc>
          <w:tcPr>
            <w:tcW w:w="709"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32" w:type="dxa"/>
            <w:vMerge/>
            <w:tcBorders>
              <w:top w:val="nil"/>
            </w:tcBorders>
          </w:tcPr>
          <w:p>
            <w:pPr>
              <w:rPr>
                <w:sz w:val="2"/>
                <w:szCs w:val="2"/>
              </w:rPr>
            </w:pPr>
          </w:p>
        </w:tc>
        <w:tc>
          <w:tcPr>
            <w:tcW w:w="915"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95" w:type="dxa"/>
            <w:vMerge/>
            <w:tcBorders>
              <w:top w:val="nil"/>
            </w:tcBorders>
          </w:tcPr>
          <w:p>
            <w:pPr>
              <w:rPr>
                <w:sz w:val="2"/>
                <w:szCs w:val="2"/>
              </w:rPr>
            </w:pPr>
          </w:p>
        </w:tc>
        <w:tc>
          <w:tcPr>
            <w:tcW w:w="850" w:type="dxa"/>
            <w:vMerge/>
            <w:tcBorders>
              <w:top w:val="nil"/>
            </w:tcBorders>
          </w:tcPr>
          <w:p>
            <w:pPr>
              <w:rPr>
                <w:sz w:val="2"/>
                <w:szCs w:val="2"/>
              </w:rPr>
            </w:pPr>
          </w:p>
        </w:tc>
        <w:tc>
          <w:tcPr>
            <w:tcW w:w="850" w:type="dxa"/>
            <w:vMerge/>
            <w:tcBorders>
              <w:top w:val="nil"/>
            </w:tcBorders>
          </w:tcPr>
          <w:p>
            <w:pPr>
              <w:rPr>
                <w:sz w:val="2"/>
                <w:szCs w:val="2"/>
              </w:rPr>
            </w:pPr>
          </w:p>
        </w:tc>
        <w:tc>
          <w:tcPr>
            <w:tcW w:w="1071" w:type="dxa"/>
            <w:vMerge/>
            <w:tcBorders>
              <w:top w:val="nil"/>
            </w:tcBorders>
          </w:tcPr>
          <w:p>
            <w:pPr>
              <w:rPr>
                <w:sz w:val="2"/>
                <w:szCs w:val="2"/>
              </w:rPr>
            </w:pPr>
          </w:p>
        </w:tc>
      </w:tr>
      <w:tr>
        <w:trPr>
          <w:trHeight w:val="136" w:hRule="atLeast"/>
        </w:trPr>
        <w:tc>
          <w:tcPr>
            <w:tcW w:w="809" w:type="dxa"/>
            <w:vMerge/>
            <w:tcBorders>
              <w:top w:val="nil"/>
              <w:bottom w:val="nil"/>
            </w:tcBorders>
          </w:tcPr>
          <w:p>
            <w:pPr>
              <w:rPr>
                <w:sz w:val="2"/>
                <w:szCs w:val="2"/>
              </w:rPr>
            </w:pPr>
          </w:p>
        </w:tc>
        <w:tc>
          <w:tcPr>
            <w:tcW w:w="1142" w:type="dxa"/>
            <w:vMerge w:val="restart"/>
          </w:tcPr>
          <w:p>
            <w:pPr>
              <w:pStyle w:val="TableParagraph"/>
              <w:spacing w:before="93"/>
              <w:ind w:left="108"/>
              <w:rPr>
                <w:sz w:val="24"/>
              </w:rPr>
            </w:pPr>
            <w:r>
              <w:rPr>
                <w:sz w:val="24"/>
              </w:rPr>
              <w:t>合计</w:t>
            </w:r>
          </w:p>
        </w:tc>
        <w:tc>
          <w:tcPr>
            <w:tcW w:w="708" w:type="dxa"/>
            <w:vMerge w:val="restart"/>
          </w:tcPr>
          <w:p>
            <w:pPr>
              <w:pStyle w:val="TableParagraph"/>
              <w:rPr>
                <w:rFonts w:ascii="Times New Roman"/>
                <w:sz w:val="22"/>
              </w:rPr>
            </w:pPr>
          </w:p>
        </w:tc>
        <w:tc>
          <w:tcPr>
            <w:tcW w:w="852"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711"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32" w:type="dxa"/>
            <w:vMerge w:val="restart"/>
          </w:tcPr>
          <w:p>
            <w:pPr>
              <w:pStyle w:val="TableParagraph"/>
              <w:rPr>
                <w:rFonts w:ascii="Times New Roman"/>
                <w:sz w:val="22"/>
              </w:rPr>
            </w:pPr>
          </w:p>
        </w:tc>
        <w:tc>
          <w:tcPr>
            <w:tcW w:w="915" w:type="dxa"/>
            <w:vMerge w:val="restart"/>
          </w:tcPr>
          <w:p>
            <w:pPr>
              <w:pStyle w:val="TableParagraph"/>
              <w:rPr>
                <w:rFonts w:ascii="Times New Roman"/>
                <w:sz w:val="22"/>
              </w:rPr>
            </w:pPr>
          </w:p>
        </w:tc>
        <w:tc>
          <w:tcPr>
            <w:tcW w:w="709" w:type="dxa"/>
            <w:vMerge w:val="restart"/>
          </w:tcPr>
          <w:p>
            <w:pPr>
              <w:pStyle w:val="TableParagraph"/>
              <w:rPr>
                <w:rFonts w:ascii="Times New Roman"/>
                <w:sz w:val="22"/>
              </w:rPr>
            </w:pPr>
          </w:p>
        </w:tc>
        <w:tc>
          <w:tcPr>
            <w:tcW w:w="992" w:type="dxa"/>
            <w:vMerge w:val="restart"/>
          </w:tcPr>
          <w:p>
            <w:pPr>
              <w:pStyle w:val="TableParagraph"/>
              <w:rPr>
                <w:rFonts w:ascii="Times New Roman"/>
                <w:sz w:val="22"/>
              </w:rPr>
            </w:pPr>
          </w:p>
        </w:tc>
        <w:tc>
          <w:tcPr>
            <w:tcW w:w="995"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850" w:type="dxa"/>
            <w:vMerge w:val="restart"/>
          </w:tcPr>
          <w:p>
            <w:pPr>
              <w:pStyle w:val="TableParagraph"/>
              <w:rPr>
                <w:rFonts w:ascii="Times New Roman"/>
                <w:sz w:val="22"/>
              </w:rPr>
            </w:pPr>
          </w:p>
        </w:tc>
        <w:tc>
          <w:tcPr>
            <w:tcW w:w="1071" w:type="dxa"/>
            <w:vMerge w:val="restart"/>
          </w:tcPr>
          <w:p>
            <w:pPr>
              <w:pStyle w:val="TableParagraph"/>
              <w:rPr>
                <w:rFonts w:ascii="Times New Roman"/>
                <w:sz w:val="22"/>
              </w:rPr>
            </w:pPr>
          </w:p>
        </w:tc>
      </w:tr>
      <w:tr>
        <w:trPr>
          <w:trHeight w:val="426" w:hRule="atLeast"/>
        </w:trPr>
        <w:tc>
          <w:tcPr>
            <w:tcW w:w="809" w:type="dxa"/>
            <w:tcBorders>
              <w:top w:val="nil"/>
            </w:tcBorders>
          </w:tcPr>
          <w:p>
            <w:pPr>
              <w:pStyle w:val="TableParagraph"/>
              <w:spacing w:before="35"/>
              <w:ind w:right="273"/>
              <w:jc w:val="right"/>
              <w:rPr>
                <w:sz w:val="24"/>
              </w:rPr>
            </w:pPr>
            <w:r>
              <w:rPr>
                <w:sz w:val="24"/>
              </w:rPr>
              <w:t>）</w:t>
            </w:r>
          </w:p>
        </w:tc>
        <w:tc>
          <w:tcPr>
            <w:tcW w:w="1142" w:type="dxa"/>
            <w:vMerge/>
            <w:tcBorders>
              <w:top w:val="nil"/>
            </w:tcBorders>
          </w:tcPr>
          <w:p>
            <w:pPr>
              <w:rPr>
                <w:sz w:val="2"/>
                <w:szCs w:val="2"/>
              </w:rPr>
            </w:pPr>
          </w:p>
        </w:tc>
        <w:tc>
          <w:tcPr>
            <w:tcW w:w="708" w:type="dxa"/>
            <w:vMerge/>
            <w:tcBorders>
              <w:top w:val="nil"/>
            </w:tcBorders>
          </w:tcPr>
          <w:p>
            <w:pPr>
              <w:rPr>
                <w:sz w:val="2"/>
                <w:szCs w:val="2"/>
              </w:rPr>
            </w:pPr>
          </w:p>
        </w:tc>
        <w:tc>
          <w:tcPr>
            <w:tcW w:w="852" w:type="dxa"/>
            <w:vMerge/>
            <w:tcBorders>
              <w:top w:val="nil"/>
            </w:tcBorders>
          </w:tcPr>
          <w:p>
            <w:pPr>
              <w:rPr>
                <w:sz w:val="2"/>
                <w:szCs w:val="2"/>
              </w:rPr>
            </w:pPr>
          </w:p>
        </w:tc>
        <w:tc>
          <w:tcPr>
            <w:tcW w:w="709"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32" w:type="dxa"/>
            <w:vMerge/>
            <w:tcBorders>
              <w:top w:val="nil"/>
            </w:tcBorders>
          </w:tcPr>
          <w:p>
            <w:pPr>
              <w:rPr>
                <w:sz w:val="2"/>
                <w:szCs w:val="2"/>
              </w:rPr>
            </w:pPr>
          </w:p>
        </w:tc>
        <w:tc>
          <w:tcPr>
            <w:tcW w:w="915" w:type="dxa"/>
            <w:vMerge/>
            <w:tcBorders>
              <w:top w:val="nil"/>
            </w:tcBorders>
          </w:tcPr>
          <w:p>
            <w:pPr>
              <w:rPr>
                <w:sz w:val="2"/>
                <w:szCs w:val="2"/>
              </w:rPr>
            </w:pPr>
          </w:p>
        </w:tc>
        <w:tc>
          <w:tcPr>
            <w:tcW w:w="709" w:type="dxa"/>
            <w:vMerge/>
            <w:tcBorders>
              <w:top w:val="nil"/>
            </w:tcBorders>
          </w:tcPr>
          <w:p>
            <w:pPr>
              <w:rPr>
                <w:sz w:val="2"/>
                <w:szCs w:val="2"/>
              </w:rPr>
            </w:pPr>
          </w:p>
        </w:tc>
        <w:tc>
          <w:tcPr>
            <w:tcW w:w="992" w:type="dxa"/>
            <w:vMerge/>
            <w:tcBorders>
              <w:top w:val="nil"/>
            </w:tcBorders>
          </w:tcPr>
          <w:p>
            <w:pPr>
              <w:rPr>
                <w:sz w:val="2"/>
                <w:szCs w:val="2"/>
              </w:rPr>
            </w:pPr>
          </w:p>
        </w:tc>
        <w:tc>
          <w:tcPr>
            <w:tcW w:w="995" w:type="dxa"/>
            <w:vMerge/>
            <w:tcBorders>
              <w:top w:val="nil"/>
            </w:tcBorders>
          </w:tcPr>
          <w:p>
            <w:pPr>
              <w:rPr>
                <w:sz w:val="2"/>
                <w:szCs w:val="2"/>
              </w:rPr>
            </w:pPr>
          </w:p>
        </w:tc>
        <w:tc>
          <w:tcPr>
            <w:tcW w:w="850" w:type="dxa"/>
            <w:vMerge/>
            <w:tcBorders>
              <w:top w:val="nil"/>
            </w:tcBorders>
          </w:tcPr>
          <w:p>
            <w:pPr>
              <w:rPr>
                <w:sz w:val="2"/>
                <w:szCs w:val="2"/>
              </w:rPr>
            </w:pPr>
          </w:p>
        </w:tc>
        <w:tc>
          <w:tcPr>
            <w:tcW w:w="850" w:type="dxa"/>
            <w:vMerge/>
            <w:tcBorders>
              <w:top w:val="nil"/>
            </w:tcBorders>
          </w:tcPr>
          <w:p>
            <w:pPr>
              <w:rPr>
                <w:sz w:val="2"/>
                <w:szCs w:val="2"/>
              </w:rPr>
            </w:pPr>
          </w:p>
        </w:tc>
        <w:tc>
          <w:tcPr>
            <w:tcW w:w="1071" w:type="dxa"/>
            <w:vMerge/>
            <w:tcBorders>
              <w:top w:val="nil"/>
            </w:tcBorders>
          </w:tcPr>
          <w:p>
            <w:pPr>
              <w:rPr>
                <w:sz w:val="2"/>
                <w:szCs w:val="2"/>
              </w:rPr>
            </w:pPr>
          </w:p>
        </w:tc>
      </w:tr>
      <w:tr>
        <w:trPr>
          <w:trHeight w:val="2724" w:hRule="atLeast"/>
        </w:trPr>
        <w:tc>
          <w:tcPr>
            <w:tcW w:w="809" w:type="dxa"/>
          </w:tcPr>
          <w:p>
            <w:pPr>
              <w:pStyle w:val="TableParagraph"/>
              <w:spacing w:before="9"/>
              <w:rPr>
                <w:sz w:val="30"/>
              </w:rPr>
            </w:pPr>
          </w:p>
          <w:p>
            <w:pPr>
              <w:pStyle w:val="TableParagraph"/>
              <w:spacing w:line="302" w:lineRule="auto"/>
              <w:ind w:left="163" w:right="155"/>
              <w:jc w:val="both"/>
              <w:rPr>
                <w:sz w:val="24"/>
              </w:rPr>
            </w:pPr>
            <w:r>
              <w:rPr>
                <w:sz w:val="24"/>
              </w:rPr>
              <w:t>年金交付核算</w:t>
            </w:r>
          </w:p>
        </w:tc>
        <w:tc>
          <w:tcPr>
            <w:tcW w:w="13137" w:type="dxa"/>
            <w:gridSpan w:val="15"/>
          </w:tcPr>
          <w:p>
            <w:pPr>
              <w:pStyle w:val="TableParagraph"/>
              <w:numPr>
                <w:ilvl w:val="0"/>
                <w:numId w:val="23"/>
              </w:numPr>
              <w:tabs>
                <w:tab w:pos="468" w:val="left" w:leader="none"/>
              </w:tabs>
              <w:spacing w:line="240" w:lineRule="auto" w:before="5" w:after="0"/>
              <w:ind w:left="468" w:right="0" w:hanging="360"/>
              <w:jc w:val="left"/>
              <w:rPr>
                <w:sz w:val="24"/>
              </w:rPr>
            </w:pPr>
            <w:r>
              <w:rPr>
                <w:sz w:val="24"/>
              </w:rPr>
              <w:t>本机构管理体系认可年金核算方法为：</w:t>
            </w:r>
          </w:p>
          <w:p>
            <w:pPr>
              <w:pStyle w:val="TableParagraph"/>
              <w:tabs>
                <w:tab w:pos="6680" w:val="left" w:leader="none"/>
              </w:tabs>
              <w:spacing w:before="81"/>
              <w:ind w:left="468"/>
              <w:rPr>
                <w:sz w:val="24"/>
              </w:rPr>
            </w:pPr>
            <w:r>
              <w:rPr>
                <w:sz w:val="24"/>
              </w:rPr>
              <w:t>350</w:t>
            </w:r>
            <w:r>
              <w:rPr>
                <w:spacing w:val="-60"/>
                <w:sz w:val="24"/>
              </w:rPr>
              <w:t> </w:t>
            </w:r>
            <w:r>
              <w:rPr>
                <w:sz w:val="24"/>
              </w:rPr>
              <w:t>元/证</w:t>
            </w:r>
            <w:r>
              <w:rPr>
                <w:sz w:val="21"/>
              </w:rPr>
              <w:t>×</w:t>
            </w:r>
            <w:r>
              <w:rPr>
                <w:sz w:val="24"/>
              </w:rPr>
              <w:t>C1+80</w:t>
            </w:r>
            <w:r>
              <w:rPr>
                <w:spacing w:val="-60"/>
                <w:sz w:val="24"/>
              </w:rPr>
              <w:t> </w:t>
            </w:r>
            <w:r>
              <w:rPr>
                <w:sz w:val="24"/>
              </w:rPr>
              <w:t>元/次</w:t>
            </w:r>
            <w:r>
              <w:rPr>
                <w:sz w:val="21"/>
              </w:rPr>
              <w:t>×</w:t>
            </w:r>
            <w:r>
              <w:rPr>
                <w:sz w:val="24"/>
              </w:rPr>
              <w:t>C2+200</w:t>
            </w:r>
            <w:r>
              <w:rPr>
                <w:spacing w:val="-60"/>
                <w:sz w:val="24"/>
              </w:rPr>
              <w:t> </w:t>
            </w:r>
            <w:r>
              <w:rPr>
                <w:sz w:val="24"/>
              </w:rPr>
              <w:t>元/证</w:t>
            </w:r>
            <w:r>
              <w:rPr>
                <w:sz w:val="21"/>
              </w:rPr>
              <w:t>×</w:t>
            </w:r>
            <w:r>
              <w:rPr>
                <w:sz w:val="24"/>
              </w:rPr>
              <w:t>C3=</w:t>
            </w:r>
            <w:r>
              <w:rPr>
                <w:sz w:val="24"/>
                <w:u w:val="single"/>
              </w:rPr>
              <w:t> </w:t>
              <w:tab/>
            </w:r>
            <w:r>
              <w:rPr>
                <w:sz w:val="24"/>
              </w:rPr>
              <w:t>元(人民币)</w:t>
            </w:r>
          </w:p>
          <w:p>
            <w:pPr>
              <w:pStyle w:val="TableParagraph"/>
              <w:numPr>
                <w:ilvl w:val="0"/>
                <w:numId w:val="23"/>
              </w:numPr>
              <w:tabs>
                <w:tab w:pos="468" w:val="left" w:leader="none"/>
              </w:tabs>
              <w:spacing w:line="240" w:lineRule="auto" w:before="81" w:after="0"/>
              <w:ind w:left="468" w:right="0" w:hanging="360"/>
              <w:jc w:val="left"/>
              <w:rPr>
                <w:sz w:val="24"/>
              </w:rPr>
            </w:pPr>
            <w:r>
              <w:rPr>
                <w:sz w:val="24"/>
              </w:rPr>
              <w:t>本机构管理体系认可年金应付款额为：</w:t>
            </w:r>
          </w:p>
          <w:p>
            <w:pPr>
              <w:pStyle w:val="TableParagraph"/>
              <w:tabs>
                <w:tab w:pos="3288" w:val="left" w:leader="none"/>
                <w:tab w:pos="6896" w:val="left" w:leader="none"/>
                <w:tab w:pos="10700" w:val="left" w:leader="none"/>
              </w:tabs>
              <w:spacing w:before="82"/>
              <w:ind w:left="408"/>
              <w:rPr>
                <w:sz w:val="24"/>
              </w:rPr>
            </w:pPr>
            <w:r>
              <w:rPr>
                <w:shadow/>
                <w:sz w:val="15"/>
              </w:rPr>
              <w:t>（低</w:t>
            </w:r>
            <w:r>
              <w:rPr>
                <w:shadow/>
                <w:spacing w:val="-3"/>
                <w:sz w:val="15"/>
              </w:rPr>
              <w:t>于</w:t>
            </w:r>
            <w:r>
              <w:rPr>
                <w:shadow/>
                <w:sz w:val="15"/>
              </w:rPr>
              <w:t>/含</w:t>
            </w:r>
            <w:r>
              <w:rPr>
                <w:shadow w:val="0"/>
                <w:spacing w:val="-38"/>
                <w:sz w:val="15"/>
              </w:rPr>
              <w:t> </w:t>
            </w:r>
            <w:r>
              <w:rPr>
                <w:shadow/>
                <w:sz w:val="15"/>
              </w:rPr>
              <w:t>50</w:t>
            </w:r>
            <w:r>
              <w:rPr>
                <w:shadow w:val="0"/>
                <w:spacing w:val="-34"/>
                <w:sz w:val="15"/>
              </w:rPr>
              <w:t> </w:t>
            </w:r>
            <w:r>
              <w:rPr>
                <w:shadow/>
                <w:spacing w:val="-3"/>
                <w:sz w:val="15"/>
              </w:rPr>
              <w:t>万</w:t>
            </w:r>
            <w:r>
              <w:rPr>
                <w:shadow/>
                <w:sz w:val="15"/>
              </w:rPr>
              <w:t>实</w:t>
            </w:r>
            <w:r>
              <w:rPr>
                <w:shadow/>
                <w:spacing w:val="-3"/>
                <w:sz w:val="15"/>
              </w:rPr>
              <w:t>际</w:t>
            </w:r>
            <w:r>
              <w:rPr>
                <w:shadow/>
                <w:sz w:val="15"/>
              </w:rPr>
              <w:t>金</w:t>
            </w:r>
            <w:r>
              <w:rPr>
                <w:shadow/>
                <w:spacing w:val="-3"/>
                <w:sz w:val="15"/>
              </w:rPr>
              <w:t>额</w:t>
            </w:r>
            <w:r>
              <w:rPr>
                <w:shadow/>
                <w:sz w:val="15"/>
              </w:rPr>
              <w:t>）</w:t>
            </w:r>
            <w:r>
              <w:rPr>
                <w:shadow w:val="0"/>
                <w:sz w:val="24"/>
              </w:rPr>
              <w:t>元+</w:t>
              <w:tab/>
            </w:r>
            <w:r>
              <w:rPr>
                <w:shadow/>
                <w:sz w:val="15"/>
              </w:rPr>
              <w:t>（50-200</w:t>
            </w:r>
            <w:r>
              <w:rPr>
                <w:shadow w:val="0"/>
                <w:spacing w:val="-37"/>
                <w:sz w:val="15"/>
              </w:rPr>
              <w:t> </w:t>
            </w:r>
            <w:r>
              <w:rPr>
                <w:shadow/>
                <w:sz w:val="15"/>
              </w:rPr>
              <w:t>万</w:t>
            </w:r>
            <w:r>
              <w:rPr>
                <w:shadow/>
                <w:spacing w:val="-3"/>
                <w:sz w:val="15"/>
              </w:rPr>
              <w:t>间</w:t>
            </w:r>
            <w:r>
              <w:rPr>
                <w:shadow/>
                <w:sz w:val="15"/>
              </w:rPr>
              <w:t>实</w:t>
            </w:r>
            <w:r>
              <w:rPr>
                <w:shadow/>
                <w:spacing w:val="-3"/>
                <w:sz w:val="15"/>
              </w:rPr>
              <w:t>际</w:t>
            </w:r>
            <w:r>
              <w:rPr>
                <w:shadow/>
                <w:sz w:val="15"/>
              </w:rPr>
              <w:t>金</w:t>
            </w:r>
            <w:r>
              <w:rPr>
                <w:shadow/>
                <w:spacing w:val="-3"/>
                <w:sz w:val="15"/>
              </w:rPr>
              <w:t>额</w:t>
            </w:r>
            <w:r>
              <w:rPr>
                <w:shadow/>
                <w:sz w:val="15"/>
              </w:rPr>
              <w:t>）</w:t>
            </w:r>
            <w:r>
              <w:rPr>
                <w:shadow w:val="0"/>
                <w:spacing w:val="-3"/>
                <w:sz w:val="24"/>
              </w:rPr>
              <w:t>元</w:t>
            </w:r>
            <w:r>
              <w:rPr>
                <w:shadow w:val="0"/>
                <w:sz w:val="24"/>
              </w:rPr>
              <w:t>×0.65+</w:t>
              <w:tab/>
            </w:r>
            <w:r>
              <w:rPr>
                <w:shadow/>
                <w:sz w:val="15"/>
              </w:rPr>
              <w:t>（200</w:t>
            </w:r>
            <w:r>
              <w:rPr>
                <w:shadow w:val="0"/>
                <w:spacing w:val="-36"/>
                <w:sz w:val="15"/>
              </w:rPr>
              <w:t> </w:t>
            </w:r>
            <w:r>
              <w:rPr>
                <w:shadow/>
                <w:sz w:val="15"/>
              </w:rPr>
              <w:t>万</w:t>
            </w:r>
            <w:r>
              <w:rPr>
                <w:shadow/>
                <w:spacing w:val="-3"/>
                <w:sz w:val="15"/>
              </w:rPr>
              <w:t>元</w:t>
            </w:r>
            <w:r>
              <w:rPr>
                <w:shadow/>
                <w:sz w:val="15"/>
              </w:rPr>
              <w:t>以上</w:t>
            </w:r>
            <w:r>
              <w:rPr>
                <w:shadow/>
                <w:spacing w:val="-3"/>
                <w:sz w:val="15"/>
              </w:rPr>
              <w:t>实</w:t>
            </w:r>
            <w:r>
              <w:rPr>
                <w:shadow/>
                <w:sz w:val="15"/>
              </w:rPr>
              <w:t>际</w:t>
            </w:r>
            <w:r>
              <w:rPr>
                <w:shadow/>
                <w:spacing w:val="-3"/>
                <w:sz w:val="15"/>
              </w:rPr>
              <w:t>金</w:t>
            </w:r>
            <w:r>
              <w:rPr>
                <w:shadow/>
                <w:sz w:val="15"/>
              </w:rPr>
              <w:t>额）</w:t>
            </w:r>
            <w:r>
              <w:rPr>
                <w:shadow w:val="0"/>
                <w:sz w:val="24"/>
              </w:rPr>
              <w:t>元×0.6=</w:t>
            </w:r>
            <w:r>
              <w:rPr>
                <w:shadow w:val="0"/>
                <w:sz w:val="24"/>
                <w:u w:val="single"/>
              </w:rPr>
              <w:t> </w:t>
              <w:tab/>
            </w:r>
            <w:r>
              <w:rPr>
                <w:shadow w:val="0"/>
                <w:sz w:val="24"/>
              </w:rPr>
              <w:t>元（人民币）</w:t>
            </w:r>
          </w:p>
          <w:p>
            <w:pPr>
              <w:pStyle w:val="TableParagraph"/>
              <w:spacing w:before="81"/>
              <w:ind w:left="468"/>
              <w:rPr>
                <w:sz w:val="24"/>
              </w:rPr>
            </w:pPr>
            <w:r>
              <w:rPr>
                <w:sz w:val="24"/>
              </w:rPr>
              <w:t>大写：</w:t>
            </w:r>
          </w:p>
          <w:p>
            <w:pPr>
              <w:pStyle w:val="TableParagraph"/>
              <w:rPr>
                <w:sz w:val="24"/>
              </w:rPr>
            </w:pPr>
          </w:p>
          <w:p>
            <w:pPr>
              <w:pStyle w:val="TableParagraph"/>
              <w:tabs>
                <w:tab w:pos="2267" w:val="left" w:leader="none"/>
                <w:tab w:pos="3108" w:val="left" w:leader="none"/>
                <w:tab w:pos="3948" w:val="left" w:leader="none"/>
                <w:tab w:pos="7068" w:val="left" w:leader="none"/>
              </w:tabs>
              <w:spacing w:before="163"/>
              <w:ind w:left="108"/>
              <w:rPr>
                <w:sz w:val="24"/>
              </w:rPr>
            </w:pPr>
            <w:r>
              <w:rPr>
                <w:sz w:val="24"/>
              </w:rPr>
              <w:t>上述款项已于</w:t>
              <w:tab/>
              <w:t>年</w:t>
              <w:tab/>
              <w:t>月</w:t>
              <w:tab/>
              <w:t>日通过</w:t>
              <w:tab/>
              <w:t>银行汇给</w:t>
            </w:r>
            <w:r>
              <w:rPr>
                <w:spacing w:val="-60"/>
                <w:sz w:val="24"/>
              </w:rPr>
              <w:t> </w:t>
            </w:r>
            <w:r>
              <w:rPr>
                <w:sz w:val="24"/>
              </w:rPr>
              <w:t>CNAS。</w:t>
            </w:r>
          </w:p>
        </w:tc>
      </w:tr>
      <w:tr>
        <w:trPr>
          <w:trHeight w:val="1271" w:hRule="atLeast"/>
        </w:trPr>
        <w:tc>
          <w:tcPr>
            <w:tcW w:w="13946" w:type="dxa"/>
            <w:gridSpan w:val="16"/>
          </w:tcPr>
          <w:p>
            <w:pPr>
              <w:pStyle w:val="TableParagraph"/>
              <w:spacing w:before="124"/>
              <w:ind w:left="107"/>
              <w:rPr>
                <w:sz w:val="24"/>
              </w:rPr>
            </w:pPr>
            <w:r>
              <w:rPr>
                <w:sz w:val="24"/>
              </w:rPr>
              <w:t>本机构确认上述信息准确、属实,如有虚报、瞒报等失实情况，将承担由此引发的认可资格暂停或撤销的后果。</w:t>
            </w:r>
          </w:p>
          <w:p>
            <w:pPr>
              <w:pStyle w:val="TableParagraph"/>
              <w:rPr>
                <w:sz w:val="24"/>
              </w:rPr>
            </w:pPr>
          </w:p>
          <w:p>
            <w:pPr>
              <w:pStyle w:val="TableParagraph"/>
              <w:tabs>
                <w:tab w:pos="3259" w:val="left" w:leader="none"/>
                <w:tab w:pos="7097" w:val="left" w:leader="none"/>
                <w:tab w:pos="11298" w:val="left" w:leader="none"/>
              </w:tabs>
              <w:spacing w:before="193"/>
              <w:ind w:left="107"/>
              <w:rPr>
                <w:sz w:val="21"/>
              </w:rPr>
            </w:pPr>
            <w:r>
              <w:rPr>
                <w:sz w:val="21"/>
              </w:rPr>
              <w:t>制表</w:t>
            </w:r>
            <w:r>
              <w:rPr>
                <w:spacing w:val="-3"/>
                <w:sz w:val="21"/>
              </w:rPr>
              <w:t>人</w:t>
            </w:r>
            <w:r>
              <w:rPr>
                <w:sz w:val="21"/>
              </w:rPr>
              <w:t>：</w:t>
              <w:tab/>
            </w:r>
            <w:r>
              <w:rPr>
                <w:spacing w:val="-3"/>
                <w:sz w:val="21"/>
              </w:rPr>
              <w:t>电</w:t>
            </w:r>
            <w:r>
              <w:rPr>
                <w:sz w:val="21"/>
              </w:rPr>
              <w:t>话</w:t>
            </w:r>
            <w:r>
              <w:rPr>
                <w:rFonts w:ascii="Times New Roman" w:eastAsia="Times New Roman"/>
                <w:sz w:val="21"/>
              </w:rPr>
              <w:t>:</w:t>
              <w:tab/>
            </w:r>
            <w:r>
              <w:rPr>
                <w:spacing w:val="-3"/>
                <w:sz w:val="21"/>
              </w:rPr>
              <w:t>机</w:t>
            </w:r>
            <w:r>
              <w:rPr>
                <w:sz w:val="21"/>
              </w:rPr>
              <w:t>构负</w:t>
            </w:r>
            <w:r>
              <w:rPr>
                <w:spacing w:val="-3"/>
                <w:sz w:val="21"/>
              </w:rPr>
              <w:t>责</w:t>
            </w:r>
            <w:r>
              <w:rPr>
                <w:sz w:val="21"/>
              </w:rPr>
              <w:t>人：</w:t>
              <w:tab/>
            </w:r>
            <w:r>
              <w:rPr>
                <w:spacing w:val="-3"/>
                <w:sz w:val="21"/>
              </w:rPr>
              <w:t>日</w:t>
            </w:r>
            <w:r>
              <w:rPr>
                <w:sz w:val="21"/>
              </w:rPr>
              <w:t>期：</w:t>
            </w:r>
          </w:p>
        </w:tc>
      </w:tr>
    </w:tbl>
    <w:p>
      <w:pPr>
        <w:pStyle w:val="BodyText"/>
        <w:spacing w:before="41"/>
        <w:ind w:left="220"/>
      </w:pPr>
      <w:r>
        <w:rPr/>
        <w:pict>
          <v:group style="position:absolute;margin-left:133.460007pt;margin-top:-129.015991pt;width:90.5pt;height:.75pt;mso-position-horizontal-relative:page;mso-position-vertical-relative:paragraph;z-index:-47224" coordorigin="2669,-2580" coordsize="1810,15">
            <v:line style="position:absolute" from="2676,-2570" to="4479,-2570" stroked="true" strokeweight=".36002pt" strokecolor="#c0c0c0">
              <v:stroke dashstyle="solid"/>
            </v:line>
            <v:line style="position:absolute" from="2669,-2577" to="4472,-2577" stroked="true" strokeweight=".35999pt" strokecolor="#000000">
              <v:stroke dashstyle="solid"/>
            </v:line>
            <w10:wrap type="none"/>
          </v:group>
        </w:pict>
      </w:r>
      <w:r>
        <w:rPr/>
        <w:pict>
          <v:group style="position:absolute;margin-left:241.580002pt;margin-top:-128.895981pt;width:120.9pt;height:1pt;mso-position-horizontal-relative:page;mso-position-vertical-relative:paragraph;z-index:-47200" coordorigin="4832,-2578" coordsize="2418,20">
            <v:line style="position:absolute" from="4832,-2573" to="5550,-2573" stroked="true" strokeweight=".47998pt" strokecolor="#000000">
              <v:stroke dashstyle="solid"/>
            </v:line>
            <v:line style="position:absolute" from="5559,-2564" to="7249,-2564" stroked="true" strokeweight=".48001pt" strokecolor="#c0c0c0">
              <v:stroke dashstyle="solid"/>
            </v:line>
            <v:line style="position:absolute" from="5550,-2573" to="7239,-2573" stroked="true" strokeweight=".47998pt" strokecolor="#000000">
              <v:stroke dashstyle="solid"/>
            </v:line>
            <w10:wrap type="none"/>
          </v:group>
        </w:pict>
      </w:r>
      <w:r>
        <w:rPr/>
        <w:pict>
          <v:group style="position:absolute;margin-left:415.850006pt;margin-top:-128.895981pt;width:130.85pt;height:1pt;mso-position-horizontal-relative:page;mso-position-vertical-relative:paragraph;z-index:-47176" coordorigin="8317,-2578" coordsize="2617,20">
            <v:line style="position:absolute" from="8317,-2573" to="9157,-2573" stroked="true" strokeweight=".47998pt" strokecolor="#000000">
              <v:stroke dashstyle="solid"/>
            </v:line>
            <v:line style="position:absolute" from="9167,-2564" to="10933,-2564" stroked="true" strokeweight=".48001pt" strokecolor="#c0c0c0">
              <v:stroke dashstyle="solid"/>
            </v:line>
            <v:line style="position:absolute" from="9157,-2573" to="10924,-2573" stroked="true" strokeweight=".47998pt" strokecolor="#000000">
              <v:stroke dashstyle="solid"/>
            </v:line>
            <w10:wrap type="none"/>
          </v:group>
        </w:pict>
      </w:r>
      <w:r>
        <w:rPr/>
        <w:t>注：工程建设施工企业质量管理体系认证另外颁发的带 </w:t>
      </w:r>
      <w:r>
        <w:rPr>
          <w:rFonts w:ascii="Times New Roman" w:eastAsia="Times New Roman"/>
        </w:rPr>
        <w:t>IAF </w:t>
      </w:r>
      <w:r>
        <w:rPr/>
        <w:t>标志的质量管理体系认证证书，不在本表统计范围内。</w:t>
      </w:r>
    </w:p>
    <w:p>
      <w:pPr>
        <w:spacing w:after="0"/>
        <w:sectPr>
          <w:type w:val="continuous"/>
          <w:pgSz w:w="16840" w:h="11910" w:orient="landscape"/>
          <w:pgMar w:top="1580" w:bottom="1060" w:left="1340" w:right="980"/>
        </w:sectPr>
      </w:pPr>
    </w:p>
    <w:p>
      <w:pPr>
        <w:pStyle w:val="BodyText"/>
        <w:spacing w:before="9"/>
        <w:rPr>
          <w:sz w:val="15"/>
        </w:rPr>
      </w:pPr>
    </w:p>
    <w:p>
      <w:pPr>
        <w:spacing w:after="0"/>
        <w:rPr>
          <w:sz w:val="15"/>
        </w:rPr>
        <w:sectPr>
          <w:pgSz w:w="16840" w:h="11910" w:orient="landscape"/>
          <w:pgMar w:header="876" w:footer="985" w:top="1180" w:bottom="1180" w:left="1340" w:right="980"/>
        </w:sectPr>
      </w:pPr>
    </w:p>
    <w:p>
      <w:pPr>
        <w:pStyle w:val="BodyText"/>
        <w:spacing w:before="77"/>
        <w:ind w:left="220"/>
        <w:rPr>
          <w:rFonts w:ascii="黑体" w:eastAsia="黑体" w:hint="eastAsia"/>
        </w:rPr>
      </w:pPr>
      <w:bookmarkStart w:name="_bookmark14" w:id="22"/>
      <w:bookmarkEnd w:id="22"/>
      <w:r>
        <w:rPr/>
      </w:r>
      <w:r>
        <w:rPr>
          <w:rFonts w:ascii="黑体" w:eastAsia="黑体" w:hint="eastAsia"/>
          <w:spacing w:val="-21"/>
        </w:rPr>
        <w:t>附表 </w:t>
      </w:r>
      <w:r>
        <w:rPr>
          <w:rFonts w:ascii="Arial" w:eastAsia="Arial"/>
        </w:rPr>
        <w:t>2</w:t>
      </w:r>
      <w:r>
        <w:rPr>
          <w:rFonts w:ascii="黑体" w:eastAsia="黑体" w:hint="eastAsia"/>
        </w:rPr>
        <w:t>：</w:t>
      </w:r>
    </w:p>
    <w:p>
      <w:pPr>
        <w:pStyle w:val="BodyText"/>
        <w:spacing w:before="2"/>
        <w:rPr>
          <w:rFonts w:ascii="黑体"/>
          <w:sz w:val="33"/>
        </w:rPr>
      </w:pPr>
      <w:r>
        <w:rPr/>
        <w:br w:type="column"/>
      </w:r>
      <w:r>
        <w:rPr>
          <w:rFonts w:ascii="黑体"/>
          <w:sz w:val="33"/>
        </w:rPr>
      </w:r>
    </w:p>
    <w:p>
      <w:pPr>
        <w:pStyle w:val="Heading1"/>
        <w:tabs>
          <w:tab w:pos="2920" w:val="left" w:leader="none"/>
        </w:tabs>
      </w:pPr>
      <w:bookmarkStart w:name="_bookmark15" w:id="23"/>
      <w:bookmarkEnd w:id="23"/>
      <w:r>
        <w:rPr/>
      </w:r>
      <w:r>
        <w:rPr>
          <w:rFonts w:ascii="Times New Roman" w:eastAsia="Times New Roman"/>
          <w:u w:val="thick"/>
        </w:rPr>
        <w:t> </w:t>
        <w:tab/>
      </w:r>
      <w:r>
        <w:rPr>
          <w:u w:val="thick"/>
        </w:rPr>
        <w:t>年度</w:t>
      </w:r>
      <w:r>
        <w:rPr/>
        <w:t>产品认证机构认可年度管理费交付核算表</w:t>
      </w:r>
    </w:p>
    <w:p>
      <w:pPr>
        <w:spacing w:after="0"/>
        <w:sectPr>
          <w:type w:val="continuous"/>
          <w:pgSz w:w="16840" w:h="11910" w:orient="landscape"/>
          <w:pgMar w:top="1580" w:bottom="1060" w:left="1340" w:right="980"/>
          <w:cols w:num="2" w:equalWidth="0">
            <w:col w:w="1175" w:space="735"/>
            <w:col w:w="12610"/>
          </w:cols>
        </w:sectPr>
      </w:pPr>
    </w:p>
    <w:p>
      <w:pPr>
        <w:pStyle w:val="BodyText"/>
        <w:spacing w:before="162" w:after="44"/>
        <w:ind w:left="220"/>
      </w:pPr>
      <w:r>
        <w:rPr/>
        <w:pict>
          <v:line style="position:absolute;mso-position-horizontal-relative:page;mso-position-vertical-relative:paragraph;z-index:-47152" from="118.940002pt,26.099991pt" to="210.140002pt,59.339991pt" stroked="true" strokeweight=".48pt" strokecolor="#000000">
            <v:stroke dashstyle="solid"/>
            <w10:wrap type="none"/>
          </v:line>
        </w:pict>
      </w:r>
      <w:r>
        <w:rPr/>
        <w:pict>
          <v:group style="position:absolute;margin-left:141.979996pt;margin-top:380.22998pt;width:90.5pt;height:.75pt;mso-position-horizontal-relative:page;mso-position-vertical-relative:page;z-index:-47128" coordorigin="2840,7605" coordsize="1810,15">
            <v:line style="position:absolute" from="2847,7615" to="4649,7615" stroked="true" strokeweight=".35999pt" strokecolor="#c0c0c0">
              <v:stroke dashstyle="solid"/>
            </v:line>
            <v:line style="position:absolute" from="2840,7608" to="4642,7608" stroked="true" strokeweight=".36002pt" strokecolor="#000000">
              <v:stroke dashstyle="solid"/>
            </v:line>
            <w10:wrap type="none"/>
          </v:group>
        </w:pict>
      </w:r>
      <w:r>
        <w:rPr/>
        <w:pict>
          <v:group style="position:absolute;margin-left:250.100006pt;margin-top:380.350006pt;width:120.9pt;height:1pt;mso-position-horizontal-relative:page;mso-position-vertical-relative:page;z-index:-47104" coordorigin="5002,7607" coordsize="2418,20">
            <v:line style="position:absolute" from="5002,7612" to="5720,7612" stroked="true" strokeweight=".48001pt" strokecolor="#000000">
              <v:stroke dashstyle="solid"/>
            </v:line>
            <v:line style="position:absolute" from="5730,7621" to="7419,7621" stroked="true" strokeweight=".48001pt" strokecolor="#c0c0c0">
              <v:stroke dashstyle="solid"/>
            </v:line>
            <v:line style="position:absolute" from="5720,7612" to="7410,7612" stroked="true" strokeweight=".48001pt" strokecolor="#000000">
              <v:stroke dashstyle="solid"/>
            </v:line>
            <w10:wrap type="none"/>
          </v:group>
        </w:pict>
      </w:r>
      <w:r>
        <w:rPr/>
        <w:pict>
          <v:group style="position:absolute;margin-left:424.369995pt;margin-top:380.350006pt;width:130.85pt;height:1pt;mso-position-horizontal-relative:page;mso-position-vertical-relative:page;z-index:-47080" coordorigin="8487,7607" coordsize="2617,20">
            <v:line style="position:absolute" from="8487,7612" to="9328,7612" stroked="true" strokeweight=".48001pt" strokecolor="#000000">
              <v:stroke dashstyle="solid"/>
            </v:line>
            <v:line style="position:absolute" from="9337,7621" to="11104,7621" stroked="true" strokeweight=".48001pt" strokecolor="#c0c0c0">
              <v:stroke dashstyle="solid"/>
            </v:line>
            <v:line style="position:absolute" from="9328,7612" to="11094,7612" stroked="true" strokeweight=".48001pt" strokecolor="#000000">
              <v:stroke dashstyle="solid"/>
            </v:line>
            <w10:wrap type="none"/>
          </v:group>
        </w:pict>
      </w:r>
      <w:r>
        <w:rPr/>
        <w:t>认证机构名称：</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1834"/>
        <w:gridCol w:w="1299"/>
        <w:gridCol w:w="1298"/>
        <w:gridCol w:w="1300"/>
        <w:gridCol w:w="1298"/>
        <w:gridCol w:w="1298"/>
        <w:gridCol w:w="1298"/>
        <w:gridCol w:w="1301"/>
        <w:gridCol w:w="1298"/>
        <w:gridCol w:w="789"/>
      </w:tblGrid>
      <w:tr>
        <w:trPr>
          <w:trHeight w:val="664" w:hRule="atLeast"/>
        </w:trPr>
        <w:tc>
          <w:tcPr>
            <w:tcW w:w="922" w:type="dxa"/>
            <w:vMerge w:val="restart"/>
          </w:tcPr>
          <w:p>
            <w:pPr>
              <w:pStyle w:val="TableParagraph"/>
              <w:rPr>
                <w:sz w:val="24"/>
              </w:rPr>
            </w:pPr>
          </w:p>
          <w:p>
            <w:pPr>
              <w:pStyle w:val="TableParagraph"/>
              <w:rPr>
                <w:sz w:val="24"/>
              </w:rPr>
            </w:pPr>
          </w:p>
          <w:p>
            <w:pPr>
              <w:pStyle w:val="TableParagraph"/>
              <w:spacing w:line="304" w:lineRule="auto" w:before="165"/>
              <w:ind w:left="341" w:right="328"/>
              <w:jc w:val="both"/>
              <w:rPr>
                <w:sz w:val="24"/>
              </w:rPr>
            </w:pPr>
            <w:r>
              <w:rPr>
                <w:sz w:val="24"/>
              </w:rPr>
              <w:t>认证情况</w:t>
            </w:r>
          </w:p>
        </w:tc>
        <w:tc>
          <w:tcPr>
            <w:tcW w:w="1834" w:type="dxa"/>
          </w:tcPr>
          <w:p>
            <w:pPr>
              <w:pStyle w:val="TableParagraph"/>
              <w:spacing w:before="1"/>
              <w:ind w:left="921"/>
              <w:rPr>
                <w:b/>
                <w:sz w:val="20"/>
              </w:rPr>
            </w:pPr>
            <w:r>
              <w:rPr>
                <w:b/>
                <w:sz w:val="20"/>
              </w:rPr>
              <w:t>认可制度</w:t>
            </w:r>
          </w:p>
          <w:p>
            <w:pPr>
              <w:pStyle w:val="TableParagraph"/>
              <w:spacing w:before="67"/>
              <w:ind w:left="107"/>
              <w:rPr>
                <w:b/>
                <w:sz w:val="21"/>
              </w:rPr>
            </w:pPr>
            <w:r>
              <w:rPr>
                <w:b/>
                <w:sz w:val="21"/>
              </w:rPr>
              <w:t>类型</w:t>
            </w:r>
          </w:p>
        </w:tc>
        <w:tc>
          <w:tcPr>
            <w:tcW w:w="1299" w:type="dxa"/>
          </w:tcPr>
          <w:p>
            <w:pPr>
              <w:pStyle w:val="TableParagraph"/>
              <w:spacing w:before="141"/>
              <w:ind w:left="162"/>
              <w:rPr>
                <w:b/>
                <w:sz w:val="24"/>
              </w:rPr>
            </w:pPr>
            <w:r>
              <w:rPr>
                <w:b/>
                <w:sz w:val="24"/>
              </w:rPr>
              <w:t>常规产品</w:t>
            </w:r>
          </w:p>
        </w:tc>
        <w:tc>
          <w:tcPr>
            <w:tcW w:w="1298" w:type="dxa"/>
          </w:tcPr>
          <w:p>
            <w:pPr>
              <w:pStyle w:val="TableParagraph"/>
              <w:spacing w:before="141"/>
              <w:ind w:left="165"/>
              <w:rPr>
                <w:b/>
                <w:sz w:val="24"/>
              </w:rPr>
            </w:pPr>
            <w:r>
              <w:rPr>
                <w:b/>
                <w:sz w:val="24"/>
              </w:rPr>
              <w:t>有机产品</w:t>
            </w:r>
          </w:p>
        </w:tc>
        <w:tc>
          <w:tcPr>
            <w:tcW w:w="1300" w:type="dxa"/>
          </w:tcPr>
          <w:p>
            <w:pPr>
              <w:pStyle w:val="TableParagraph"/>
              <w:spacing w:line="242" w:lineRule="auto" w:before="21"/>
              <w:ind w:left="407" w:right="158" w:hanging="243"/>
              <w:rPr>
                <w:b/>
                <w:sz w:val="24"/>
              </w:rPr>
            </w:pPr>
            <w:r>
              <w:rPr>
                <w:b/>
                <w:sz w:val="24"/>
              </w:rPr>
              <w:t>良好农业规范</w:t>
            </w:r>
          </w:p>
        </w:tc>
        <w:tc>
          <w:tcPr>
            <w:tcW w:w="1298" w:type="dxa"/>
          </w:tcPr>
          <w:p>
            <w:pPr>
              <w:pStyle w:val="TableParagraph"/>
              <w:spacing w:before="141"/>
              <w:ind w:left="163"/>
              <w:rPr>
                <w:b/>
                <w:sz w:val="24"/>
              </w:rPr>
            </w:pPr>
            <w:r>
              <w:rPr>
                <w:b/>
                <w:sz w:val="24"/>
              </w:rPr>
              <w:t>森林认证</w:t>
            </w:r>
          </w:p>
        </w:tc>
        <w:tc>
          <w:tcPr>
            <w:tcW w:w="1298" w:type="dxa"/>
          </w:tcPr>
          <w:p>
            <w:pPr>
              <w:pStyle w:val="TableParagraph"/>
              <w:spacing w:before="141"/>
              <w:ind w:left="164"/>
              <w:rPr>
                <w:b/>
                <w:sz w:val="24"/>
              </w:rPr>
            </w:pPr>
            <w:r>
              <w:rPr>
                <w:b/>
                <w:sz w:val="24"/>
              </w:rPr>
              <w:t>服务认证</w:t>
            </w:r>
          </w:p>
        </w:tc>
        <w:tc>
          <w:tcPr>
            <w:tcW w:w="1298" w:type="dxa"/>
          </w:tcPr>
          <w:p>
            <w:pPr>
              <w:pStyle w:val="TableParagraph"/>
              <w:rPr>
                <w:rFonts w:ascii="Times New Roman"/>
                <w:sz w:val="22"/>
              </w:rPr>
            </w:pPr>
          </w:p>
        </w:tc>
        <w:tc>
          <w:tcPr>
            <w:tcW w:w="1301" w:type="dxa"/>
          </w:tcPr>
          <w:p>
            <w:pPr>
              <w:pStyle w:val="TableParagraph"/>
              <w:rPr>
                <w:rFonts w:ascii="Times New Roman"/>
                <w:sz w:val="22"/>
              </w:rPr>
            </w:pPr>
          </w:p>
        </w:tc>
        <w:tc>
          <w:tcPr>
            <w:tcW w:w="1298" w:type="dxa"/>
          </w:tcPr>
          <w:p>
            <w:pPr>
              <w:pStyle w:val="TableParagraph"/>
              <w:rPr>
                <w:rFonts w:ascii="Times New Roman"/>
                <w:sz w:val="22"/>
              </w:rPr>
            </w:pPr>
          </w:p>
        </w:tc>
        <w:tc>
          <w:tcPr>
            <w:tcW w:w="789" w:type="dxa"/>
          </w:tcPr>
          <w:p>
            <w:pPr>
              <w:pStyle w:val="TableParagraph"/>
              <w:spacing w:before="141"/>
              <w:ind w:left="108"/>
              <w:rPr>
                <w:b/>
                <w:sz w:val="24"/>
              </w:rPr>
            </w:pPr>
            <w:r>
              <w:rPr>
                <w:b/>
                <w:sz w:val="24"/>
              </w:rPr>
              <w:t>合计</w:t>
            </w:r>
          </w:p>
        </w:tc>
      </w:tr>
      <w:tr>
        <w:trPr>
          <w:trHeight w:val="808" w:hRule="atLeast"/>
        </w:trPr>
        <w:tc>
          <w:tcPr>
            <w:tcW w:w="922" w:type="dxa"/>
            <w:vMerge/>
            <w:tcBorders>
              <w:top w:val="nil"/>
            </w:tcBorders>
          </w:tcPr>
          <w:p>
            <w:pPr>
              <w:rPr>
                <w:sz w:val="2"/>
                <w:szCs w:val="2"/>
              </w:rPr>
            </w:pPr>
          </w:p>
        </w:tc>
        <w:tc>
          <w:tcPr>
            <w:tcW w:w="1834" w:type="dxa"/>
          </w:tcPr>
          <w:p>
            <w:pPr>
              <w:pStyle w:val="TableParagraph"/>
              <w:spacing w:before="94"/>
              <w:ind w:left="203" w:right="141"/>
              <w:jc w:val="center"/>
              <w:rPr>
                <w:sz w:val="24"/>
              </w:rPr>
            </w:pPr>
            <w:r>
              <w:rPr>
                <w:sz w:val="24"/>
              </w:rPr>
              <w:t>获证组织数量</w:t>
            </w:r>
          </w:p>
          <w:p>
            <w:pPr>
              <w:pStyle w:val="TableParagraph"/>
              <w:spacing w:before="4"/>
              <w:ind w:left="203" w:right="141"/>
              <w:jc w:val="center"/>
              <w:rPr>
                <w:sz w:val="24"/>
              </w:rPr>
            </w:pPr>
            <w:r>
              <w:rPr>
                <w:sz w:val="24"/>
              </w:rPr>
              <w:t>（家）</w:t>
            </w:r>
          </w:p>
        </w:tc>
        <w:tc>
          <w:tcPr>
            <w:tcW w:w="1299" w:type="dxa"/>
          </w:tcPr>
          <w:p>
            <w:pPr>
              <w:pStyle w:val="TableParagraph"/>
              <w:rPr>
                <w:rFonts w:ascii="Times New Roman"/>
                <w:sz w:val="22"/>
              </w:rPr>
            </w:pPr>
          </w:p>
        </w:tc>
        <w:tc>
          <w:tcPr>
            <w:tcW w:w="1298" w:type="dxa"/>
          </w:tcPr>
          <w:p>
            <w:pPr>
              <w:pStyle w:val="TableParagraph"/>
              <w:rPr>
                <w:rFonts w:ascii="Times New Roman"/>
                <w:sz w:val="22"/>
              </w:rPr>
            </w:pPr>
          </w:p>
        </w:tc>
        <w:tc>
          <w:tcPr>
            <w:tcW w:w="1300"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301" w:type="dxa"/>
          </w:tcPr>
          <w:p>
            <w:pPr>
              <w:pStyle w:val="TableParagraph"/>
              <w:rPr>
                <w:rFonts w:ascii="Times New Roman"/>
                <w:sz w:val="22"/>
              </w:rPr>
            </w:pPr>
          </w:p>
        </w:tc>
        <w:tc>
          <w:tcPr>
            <w:tcW w:w="1298" w:type="dxa"/>
          </w:tcPr>
          <w:p>
            <w:pPr>
              <w:pStyle w:val="TableParagraph"/>
              <w:rPr>
                <w:rFonts w:ascii="Times New Roman"/>
                <w:sz w:val="22"/>
              </w:rPr>
            </w:pPr>
          </w:p>
        </w:tc>
        <w:tc>
          <w:tcPr>
            <w:tcW w:w="789" w:type="dxa"/>
          </w:tcPr>
          <w:p>
            <w:pPr>
              <w:pStyle w:val="TableParagraph"/>
              <w:spacing w:before="94"/>
              <w:ind w:left="108"/>
              <w:rPr>
                <w:sz w:val="24"/>
              </w:rPr>
            </w:pPr>
            <w:r>
              <w:rPr>
                <w:sz w:val="24"/>
              </w:rPr>
              <w:t>C1</w:t>
            </w:r>
          </w:p>
        </w:tc>
      </w:tr>
      <w:tr>
        <w:trPr>
          <w:trHeight w:val="902" w:hRule="atLeast"/>
        </w:trPr>
        <w:tc>
          <w:tcPr>
            <w:tcW w:w="922" w:type="dxa"/>
            <w:vMerge/>
            <w:tcBorders>
              <w:top w:val="nil"/>
            </w:tcBorders>
          </w:tcPr>
          <w:p>
            <w:pPr>
              <w:rPr>
                <w:sz w:val="2"/>
                <w:szCs w:val="2"/>
              </w:rPr>
            </w:pPr>
          </w:p>
        </w:tc>
        <w:tc>
          <w:tcPr>
            <w:tcW w:w="1834" w:type="dxa"/>
          </w:tcPr>
          <w:p>
            <w:pPr>
              <w:pStyle w:val="TableParagraph"/>
              <w:spacing w:before="93"/>
              <w:ind w:left="150" w:right="141"/>
              <w:jc w:val="center"/>
              <w:rPr>
                <w:sz w:val="24"/>
              </w:rPr>
            </w:pPr>
            <w:r>
              <w:rPr>
                <w:sz w:val="24"/>
              </w:rPr>
              <w:t>证书数量</w:t>
            </w:r>
          </w:p>
          <w:p>
            <w:pPr>
              <w:pStyle w:val="TableParagraph"/>
              <w:spacing w:before="96"/>
              <w:ind w:left="150" w:right="141"/>
              <w:jc w:val="center"/>
              <w:rPr>
                <w:sz w:val="24"/>
              </w:rPr>
            </w:pPr>
            <w:r>
              <w:rPr>
                <w:sz w:val="24"/>
              </w:rPr>
              <w:t>（张）</w:t>
            </w:r>
          </w:p>
        </w:tc>
        <w:tc>
          <w:tcPr>
            <w:tcW w:w="1299" w:type="dxa"/>
          </w:tcPr>
          <w:p>
            <w:pPr>
              <w:pStyle w:val="TableParagraph"/>
              <w:rPr>
                <w:rFonts w:ascii="Times New Roman"/>
                <w:sz w:val="22"/>
              </w:rPr>
            </w:pPr>
          </w:p>
        </w:tc>
        <w:tc>
          <w:tcPr>
            <w:tcW w:w="1298" w:type="dxa"/>
          </w:tcPr>
          <w:p>
            <w:pPr>
              <w:pStyle w:val="TableParagraph"/>
              <w:rPr>
                <w:rFonts w:ascii="Times New Roman"/>
                <w:sz w:val="22"/>
              </w:rPr>
            </w:pPr>
          </w:p>
        </w:tc>
        <w:tc>
          <w:tcPr>
            <w:tcW w:w="1300"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301" w:type="dxa"/>
          </w:tcPr>
          <w:p>
            <w:pPr>
              <w:pStyle w:val="TableParagraph"/>
              <w:rPr>
                <w:rFonts w:ascii="Times New Roman"/>
                <w:sz w:val="22"/>
              </w:rPr>
            </w:pPr>
          </w:p>
        </w:tc>
        <w:tc>
          <w:tcPr>
            <w:tcW w:w="1298" w:type="dxa"/>
          </w:tcPr>
          <w:p>
            <w:pPr>
              <w:pStyle w:val="TableParagraph"/>
              <w:rPr>
                <w:rFonts w:ascii="Times New Roman"/>
                <w:sz w:val="22"/>
              </w:rPr>
            </w:pPr>
          </w:p>
        </w:tc>
        <w:tc>
          <w:tcPr>
            <w:tcW w:w="789" w:type="dxa"/>
          </w:tcPr>
          <w:p>
            <w:pPr>
              <w:pStyle w:val="TableParagraph"/>
              <w:spacing w:before="93"/>
              <w:ind w:left="108"/>
              <w:rPr>
                <w:sz w:val="24"/>
              </w:rPr>
            </w:pPr>
            <w:r>
              <w:rPr>
                <w:sz w:val="24"/>
              </w:rPr>
              <w:t>C2</w:t>
            </w:r>
          </w:p>
        </w:tc>
      </w:tr>
      <w:tr>
        <w:trPr>
          <w:trHeight w:val="575" w:hRule="atLeast"/>
        </w:trPr>
        <w:tc>
          <w:tcPr>
            <w:tcW w:w="922" w:type="dxa"/>
            <w:vMerge/>
            <w:tcBorders>
              <w:top w:val="nil"/>
            </w:tcBorders>
          </w:tcPr>
          <w:p>
            <w:pPr>
              <w:rPr>
                <w:sz w:val="2"/>
                <w:szCs w:val="2"/>
              </w:rPr>
            </w:pPr>
          </w:p>
        </w:tc>
        <w:tc>
          <w:tcPr>
            <w:tcW w:w="1834" w:type="dxa"/>
          </w:tcPr>
          <w:p>
            <w:pPr>
              <w:pStyle w:val="TableParagraph"/>
              <w:spacing w:before="93"/>
              <w:ind w:left="150" w:right="141"/>
              <w:jc w:val="center"/>
              <w:rPr>
                <w:sz w:val="24"/>
              </w:rPr>
            </w:pPr>
            <w:r>
              <w:rPr>
                <w:sz w:val="24"/>
              </w:rPr>
              <w:t>备注</w:t>
            </w:r>
          </w:p>
        </w:tc>
        <w:tc>
          <w:tcPr>
            <w:tcW w:w="1299" w:type="dxa"/>
          </w:tcPr>
          <w:p>
            <w:pPr>
              <w:pStyle w:val="TableParagraph"/>
              <w:rPr>
                <w:rFonts w:ascii="Times New Roman"/>
                <w:sz w:val="22"/>
              </w:rPr>
            </w:pPr>
          </w:p>
        </w:tc>
        <w:tc>
          <w:tcPr>
            <w:tcW w:w="1298" w:type="dxa"/>
          </w:tcPr>
          <w:p>
            <w:pPr>
              <w:pStyle w:val="TableParagraph"/>
              <w:rPr>
                <w:rFonts w:ascii="Times New Roman"/>
                <w:sz w:val="22"/>
              </w:rPr>
            </w:pPr>
          </w:p>
        </w:tc>
        <w:tc>
          <w:tcPr>
            <w:tcW w:w="1300"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298" w:type="dxa"/>
          </w:tcPr>
          <w:p>
            <w:pPr>
              <w:pStyle w:val="TableParagraph"/>
              <w:rPr>
                <w:rFonts w:ascii="Times New Roman"/>
                <w:sz w:val="22"/>
              </w:rPr>
            </w:pPr>
          </w:p>
        </w:tc>
        <w:tc>
          <w:tcPr>
            <w:tcW w:w="1301" w:type="dxa"/>
          </w:tcPr>
          <w:p>
            <w:pPr>
              <w:pStyle w:val="TableParagraph"/>
              <w:rPr>
                <w:rFonts w:ascii="Times New Roman"/>
                <w:sz w:val="22"/>
              </w:rPr>
            </w:pPr>
          </w:p>
        </w:tc>
        <w:tc>
          <w:tcPr>
            <w:tcW w:w="1298" w:type="dxa"/>
          </w:tcPr>
          <w:p>
            <w:pPr>
              <w:pStyle w:val="TableParagraph"/>
              <w:rPr>
                <w:rFonts w:ascii="Times New Roman"/>
                <w:sz w:val="22"/>
              </w:rPr>
            </w:pPr>
          </w:p>
        </w:tc>
        <w:tc>
          <w:tcPr>
            <w:tcW w:w="789" w:type="dxa"/>
          </w:tcPr>
          <w:p>
            <w:pPr>
              <w:pStyle w:val="TableParagraph"/>
              <w:rPr>
                <w:rFonts w:ascii="Times New Roman"/>
                <w:sz w:val="22"/>
              </w:rPr>
            </w:pPr>
          </w:p>
        </w:tc>
      </w:tr>
      <w:tr>
        <w:trPr>
          <w:trHeight w:val="3113" w:hRule="atLeast"/>
        </w:trPr>
        <w:tc>
          <w:tcPr>
            <w:tcW w:w="922" w:type="dxa"/>
          </w:tcPr>
          <w:p>
            <w:pPr>
              <w:pStyle w:val="TableParagraph"/>
              <w:spacing w:before="7"/>
              <w:rPr>
                <w:sz w:val="30"/>
              </w:rPr>
            </w:pPr>
          </w:p>
          <w:p>
            <w:pPr>
              <w:pStyle w:val="TableParagraph"/>
              <w:spacing w:line="302" w:lineRule="auto"/>
              <w:ind w:left="220" w:right="209"/>
              <w:jc w:val="both"/>
              <w:rPr>
                <w:sz w:val="24"/>
              </w:rPr>
            </w:pPr>
            <w:r>
              <w:rPr>
                <w:sz w:val="24"/>
              </w:rPr>
              <w:t>年金交付核算</w:t>
            </w:r>
          </w:p>
        </w:tc>
        <w:tc>
          <w:tcPr>
            <w:tcW w:w="13013" w:type="dxa"/>
            <w:gridSpan w:val="10"/>
          </w:tcPr>
          <w:p>
            <w:pPr>
              <w:pStyle w:val="TableParagraph"/>
              <w:numPr>
                <w:ilvl w:val="0"/>
                <w:numId w:val="24"/>
              </w:numPr>
              <w:tabs>
                <w:tab w:pos="468" w:val="left" w:leader="none"/>
              </w:tabs>
              <w:spacing w:line="240" w:lineRule="auto" w:before="2" w:after="0"/>
              <w:ind w:left="467" w:right="0" w:hanging="360"/>
              <w:jc w:val="left"/>
              <w:rPr>
                <w:sz w:val="24"/>
              </w:rPr>
            </w:pPr>
            <w:r>
              <w:rPr>
                <w:sz w:val="24"/>
              </w:rPr>
              <w:t>本机构产品认可年金核算方法为：</w:t>
            </w:r>
          </w:p>
          <w:p>
            <w:pPr>
              <w:pStyle w:val="TableParagraph"/>
              <w:tabs>
                <w:tab w:pos="6351" w:val="left" w:leader="none"/>
              </w:tabs>
              <w:spacing w:before="82"/>
              <w:ind w:left="467"/>
              <w:rPr>
                <w:sz w:val="24"/>
              </w:rPr>
            </w:pPr>
            <w:r>
              <w:rPr>
                <w:sz w:val="24"/>
              </w:rPr>
              <w:t>C1</w:t>
            </w:r>
            <w:r>
              <w:rPr>
                <w:sz w:val="21"/>
              </w:rPr>
              <w:t>×</w:t>
            </w:r>
            <w:r>
              <w:rPr>
                <w:sz w:val="24"/>
              </w:rPr>
              <w:t>150</w:t>
            </w:r>
            <w:r>
              <w:rPr>
                <w:spacing w:val="-60"/>
                <w:sz w:val="24"/>
              </w:rPr>
              <w:t> </w:t>
            </w:r>
            <w:r>
              <w:rPr>
                <w:sz w:val="21"/>
              </w:rPr>
              <w:t>元</w:t>
            </w:r>
            <w:r>
              <w:rPr>
                <w:sz w:val="24"/>
              </w:rPr>
              <w:t>+</w:t>
            </w:r>
            <w:r>
              <w:rPr>
                <w:sz w:val="21"/>
              </w:rPr>
              <w:t>（</w:t>
            </w:r>
            <w:r>
              <w:rPr>
                <w:sz w:val="24"/>
              </w:rPr>
              <w:t>C2-C1）</w:t>
            </w:r>
            <w:r>
              <w:rPr>
                <w:sz w:val="21"/>
              </w:rPr>
              <w:t>×</w:t>
            </w:r>
            <w:r>
              <w:rPr>
                <w:sz w:val="24"/>
              </w:rPr>
              <w:t>50</w:t>
            </w:r>
            <w:r>
              <w:rPr>
                <w:spacing w:val="-60"/>
                <w:sz w:val="24"/>
              </w:rPr>
              <w:t> </w:t>
            </w:r>
            <w:r>
              <w:rPr>
                <w:sz w:val="24"/>
              </w:rPr>
              <w:t>元/证=</w:t>
              <w:tab/>
              <w:t>元(人民币)</w:t>
            </w:r>
          </w:p>
          <w:p>
            <w:pPr>
              <w:pStyle w:val="TableParagraph"/>
              <w:rPr>
                <w:sz w:val="24"/>
              </w:rPr>
            </w:pPr>
          </w:p>
          <w:p>
            <w:pPr>
              <w:pStyle w:val="TableParagraph"/>
              <w:numPr>
                <w:ilvl w:val="0"/>
                <w:numId w:val="24"/>
              </w:numPr>
              <w:tabs>
                <w:tab w:pos="468" w:val="left" w:leader="none"/>
              </w:tabs>
              <w:spacing w:line="240" w:lineRule="auto" w:before="162" w:after="0"/>
              <w:ind w:left="467" w:right="0" w:hanging="360"/>
              <w:jc w:val="left"/>
              <w:rPr>
                <w:sz w:val="24"/>
              </w:rPr>
            </w:pPr>
            <w:r>
              <w:rPr>
                <w:sz w:val="24"/>
              </w:rPr>
              <w:t>本机构产品认可年金应付款额为：</w:t>
            </w:r>
          </w:p>
          <w:p>
            <w:pPr>
              <w:pStyle w:val="TableParagraph"/>
              <w:tabs>
                <w:tab w:pos="3345" w:val="left" w:leader="none"/>
                <w:tab w:pos="6953" w:val="left" w:leader="none"/>
                <w:tab w:pos="10878" w:val="left" w:leader="none"/>
              </w:tabs>
              <w:spacing w:before="81"/>
              <w:ind w:left="465"/>
              <w:rPr>
                <w:sz w:val="24"/>
              </w:rPr>
            </w:pPr>
            <w:r>
              <w:rPr>
                <w:shadow/>
                <w:sz w:val="15"/>
              </w:rPr>
              <w:t>（低</w:t>
            </w:r>
            <w:r>
              <w:rPr>
                <w:shadow/>
                <w:spacing w:val="-3"/>
                <w:sz w:val="15"/>
              </w:rPr>
              <w:t>于</w:t>
            </w:r>
            <w:r>
              <w:rPr>
                <w:shadow/>
                <w:sz w:val="15"/>
              </w:rPr>
              <w:t>/含</w:t>
            </w:r>
            <w:r>
              <w:rPr>
                <w:shadow w:val="0"/>
                <w:spacing w:val="-38"/>
                <w:sz w:val="15"/>
              </w:rPr>
              <w:t> </w:t>
            </w:r>
            <w:r>
              <w:rPr>
                <w:shadow/>
                <w:sz w:val="15"/>
              </w:rPr>
              <w:t>50</w:t>
            </w:r>
            <w:r>
              <w:rPr>
                <w:shadow w:val="0"/>
                <w:spacing w:val="-34"/>
                <w:sz w:val="15"/>
              </w:rPr>
              <w:t> </w:t>
            </w:r>
            <w:r>
              <w:rPr>
                <w:shadow/>
                <w:spacing w:val="-3"/>
                <w:sz w:val="15"/>
              </w:rPr>
              <w:t>万</w:t>
            </w:r>
            <w:r>
              <w:rPr>
                <w:shadow/>
                <w:sz w:val="15"/>
              </w:rPr>
              <w:t>实</w:t>
            </w:r>
            <w:r>
              <w:rPr>
                <w:shadow/>
                <w:spacing w:val="-3"/>
                <w:sz w:val="15"/>
              </w:rPr>
              <w:t>际</w:t>
            </w:r>
            <w:r>
              <w:rPr>
                <w:shadow/>
                <w:sz w:val="15"/>
              </w:rPr>
              <w:t>金</w:t>
            </w:r>
            <w:r>
              <w:rPr>
                <w:shadow/>
                <w:spacing w:val="-3"/>
                <w:sz w:val="15"/>
              </w:rPr>
              <w:t>额</w:t>
            </w:r>
            <w:r>
              <w:rPr>
                <w:shadow/>
                <w:sz w:val="15"/>
              </w:rPr>
              <w:t>）</w:t>
            </w:r>
            <w:r>
              <w:rPr>
                <w:shadow w:val="0"/>
                <w:sz w:val="24"/>
              </w:rPr>
              <w:t>元+</w:t>
              <w:tab/>
            </w:r>
            <w:r>
              <w:rPr>
                <w:shadow/>
                <w:sz w:val="15"/>
              </w:rPr>
              <w:t>（50-200</w:t>
            </w:r>
            <w:r>
              <w:rPr>
                <w:shadow w:val="0"/>
                <w:spacing w:val="-37"/>
                <w:sz w:val="15"/>
              </w:rPr>
              <w:t> </w:t>
            </w:r>
            <w:r>
              <w:rPr>
                <w:shadow/>
                <w:sz w:val="15"/>
              </w:rPr>
              <w:t>万</w:t>
            </w:r>
            <w:r>
              <w:rPr>
                <w:shadow/>
                <w:spacing w:val="-3"/>
                <w:sz w:val="15"/>
              </w:rPr>
              <w:t>间</w:t>
            </w:r>
            <w:r>
              <w:rPr>
                <w:shadow/>
                <w:sz w:val="15"/>
              </w:rPr>
              <w:t>实</w:t>
            </w:r>
            <w:r>
              <w:rPr>
                <w:shadow/>
                <w:spacing w:val="-3"/>
                <w:sz w:val="15"/>
              </w:rPr>
              <w:t>际</w:t>
            </w:r>
            <w:r>
              <w:rPr>
                <w:shadow/>
                <w:sz w:val="15"/>
              </w:rPr>
              <w:t>金</w:t>
            </w:r>
            <w:r>
              <w:rPr>
                <w:shadow/>
                <w:spacing w:val="-3"/>
                <w:sz w:val="15"/>
              </w:rPr>
              <w:t>额</w:t>
            </w:r>
            <w:r>
              <w:rPr>
                <w:shadow/>
                <w:sz w:val="15"/>
              </w:rPr>
              <w:t>）</w:t>
            </w:r>
            <w:r>
              <w:rPr>
                <w:shadow w:val="0"/>
                <w:spacing w:val="-3"/>
                <w:sz w:val="24"/>
              </w:rPr>
              <w:t>元</w:t>
            </w:r>
            <w:r>
              <w:rPr>
                <w:shadow w:val="0"/>
                <w:sz w:val="24"/>
              </w:rPr>
              <w:t>×0.65+</w:t>
              <w:tab/>
            </w:r>
            <w:r>
              <w:rPr>
                <w:shadow/>
                <w:sz w:val="15"/>
              </w:rPr>
              <w:t>（200</w:t>
            </w:r>
            <w:r>
              <w:rPr>
                <w:shadow w:val="0"/>
                <w:spacing w:val="-36"/>
                <w:sz w:val="15"/>
              </w:rPr>
              <w:t> </w:t>
            </w:r>
            <w:r>
              <w:rPr>
                <w:shadow/>
                <w:sz w:val="15"/>
              </w:rPr>
              <w:t>万</w:t>
            </w:r>
            <w:r>
              <w:rPr>
                <w:shadow/>
                <w:spacing w:val="-3"/>
                <w:sz w:val="15"/>
              </w:rPr>
              <w:t>元</w:t>
            </w:r>
            <w:r>
              <w:rPr>
                <w:shadow/>
                <w:sz w:val="15"/>
              </w:rPr>
              <w:t>以上</w:t>
            </w:r>
            <w:r>
              <w:rPr>
                <w:shadow/>
                <w:spacing w:val="-3"/>
                <w:sz w:val="15"/>
              </w:rPr>
              <w:t>实</w:t>
            </w:r>
            <w:r>
              <w:rPr>
                <w:shadow/>
                <w:sz w:val="15"/>
              </w:rPr>
              <w:t>际</w:t>
            </w:r>
            <w:r>
              <w:rPr>
                <w:shadow/>
                <w:spacing w:val="-3"/>
                <w:sz w:val="15"/>
              </w:rPr>
              <w:t>金</w:t>
            </w:r>
            <w:r>
              <w:rPr>
                <w:shadow/>
                <w:sz w:val="15"/>
              </w:rPr>
              <w:t>额）</w:t>
            </w:r>
            <w:r>
              <w:rPr>
                <w:shadow w:val="0"/>
                <w:sz w:val="24"/>
              </w:rPr>
              <w:t>元×0.6=</w:t>
            </w:r>
            <w:r>
              <w:rPr>
                <w:shadow w:val="0"/>
                <w:sz w:val="24"/>
                <w:u w:val="single"/>
              </w:rPr>
              <w:t> </w:t>
              <w:tab/>
            </w:r>
            <w:r>
              <w:rPr>
                <w:shadow w:val="0"/>
                <w:sz w:val="24"/>
              </w:rPr>
              <w:t>元（人民币）</w:t>
            </w:r>
          </w:p>
          <w:p>
            <w:pPr>
              <w:pStyle w:val="TableParagraph"/>
              <w:spacing w:before="82"/>
              <w:ind w:left="467"/>
              <w:rPr>
                <w:sz w:val="24"/>
              </w:rPr>
            </w:pPr>
            <w:r>
              <w:rPr>
                <w:sz w:val="24"/>
              </w:rPr>
              <w:t>大写：</w:t>
            </w:r>
          </w:p>
          <w:p>
            <w:pPr>
              <w:pStyle w:val="TableParagraph"/>
              <w:rPr>
                <w:sz w:val="24"/>
              </w:rPr>
            </w:pPr>
          </w:p>
          <w:p>
            <w:pPr>
              <w:pStyle w:val="TableParagraph"/>
              <w:tabs>
                <w:tab w:pos="2267" w:val="left" w:leader="none"/>
                <w:tab w:pos="3108" w:val="left" w:leader="none"/>
                <w:tab w:pos="3948" w:val="left" w:leader="none"/>
                <w:tab w:pos="7068" w:val="left" w:leader="none"/>
              </w:tabs>
              <w:spacing w:before="165"/>
              <w:ind w:left="107"/>
              <w:rPr>
                <w:sz w:val="24"/>
              </w:rPr>
            </w:pPr>
            <w:r>
              <w:rPr>
                <w:sz w:val="24"/>
              </w:rPr>
              <w:t>上述款项已于</w:t>
              <w:tab/>
              <w:t>年</w:t>
              <w:tab/>
              <w:t>月</w:t>
              <w:tab/>
              <w:t>日通过</w:t>
              <w:tab/>
              <w:t>银行汇给</w:t>
            </w:r>
            <w:r>
              <w:rPr>
                <w:spacing w:val="-60"/>
                <w:sz w:val="24"/>
              </w:rPr>
              <w:t> </w:t>
            </w:r>
            <w:r>
              <w:rPr>
                <w:sz w:val="24"/>
              </w:rPr>
              <w:t>CNAS。</w:t>
            </w:r>
          </w:p>
        </w:tc>
      </w:tr>
      <w:tr>
        <w:trPr>
          <w:trHeight w:val="1271" w:hRule="atLeast"/>
        </w:trPr>
        <w:tc>
          <w:tcPr>
            <w:tcW w:w="13935" w:type="dxa"/>
            <w:gridSpan w:val="11"/>
          </w:tcPr>
          <w:p>
            <w:pPr>
              <w:pStyle w:val="TableParagraph"/>
              <w:spacing w:before="122"/>
              <w:ind w:left="107"/>
              <w:rPr>
                <w:sz w:val="24"/>
              </w:rPr>
            </w:pPr>
            <w:r>
              <w:rPr>
                <w:sz w:val="24"/>
              </w:rPr>
              <w:t>本机构确认上述信息准确、属实,如有虚报、瞒报等失实情况，将承担由此引发的认可资格暂停或撤销的后果。</w:t>
            </w:r>
          </w:p>
          <w:p>
            <w:pPr>
              <w:pStyle w:val="TableParagraph"/>
              <w:rPr>
                <w:sz w:val="24"/>
              </w:rPr>
            </w:pPr>
          </w:p>
          <w:p>
            <w:pPr>
              <w:pStyle w:val="TableParagraph"/>
              <w:tabs>
                <w:tab w:pos="3468" w:val="left" w:leader="none"/>
                <w:tab w:pos="7306" w:val="left" w:leader="none"/>
                <w:tab w:pos="10352" w:val="left" w:leader="none"/>
              </w:tabs>
              <w:spacing w:before="195"/>
              <w:ind w:left="107"/>
              <w:rPr>
                <w:sz w:val="21"/>
              </w:rPr>
            </w:pPr>
            <w:r>
              <w:rPr>
                <w:sz w:val="21"/>
              </w:rPr>
              <w:t>制表</w:t>
            </w:r>
            <w:r>
              <w:rPr>
                <w:spacing w:val="-3"/>
                <w:sz w:val="21"/>
              </w:rPr>
              <w:t>人</w:t>
            </w:r>
            <w:r>
              <w:rPr>
                <w:sz w:val="21"/>
              </w:rPr>
              <w:t>：</w:t>
              <w:tab/>
              <w:t>电话</w:t>
            </w:r>
            <w:r>
              <w:rPr>
                <w:rFonts w:ascii="Times New Roman" w:eastAsia="Times New Roman"/>
                <w:sz w:val="21"/>
              </w:rPr>
              <w:t>:</w:t>
              <w:tab/>
            </w:r>
            <w:r>
              <w:rPr>
                <w:sz w:val="21"/>
              </w:rPr>
              <w:t>机构</w:t>
            </w:r>
            <w:r>
              <w:rPr>
                <w:spacing w:val="-3"/>
                <w:sz w:val="21"/>
              </w:rPr>
              <w:t>负</w:t>
            </w:r>
            <w:r>
              <w:rPr>
                <w:sz w:val="21"/>
              </w:rPr>
              <w:t>责</w:t>
            </w:r>
            <w:r>
              <w:rPr>
                <w:spacing w:val="-3"/>
                <w:sz w:val="21"/>
              </w:rPr>
              <w:t>人</w:t>
            </w:r>
            <w:r>
              <w:rPr>
                <w:sz w:val="21"/>
              </w:rPr>
              <w:t>：</w:t>
              <w:tab/>
              <w:t>日</w:t>
            </w:r>
            <w:r>
              <w:rPr>
                <w:spacing w:val="-3"/>
                <w:sz w:val="21"/>
              </w:rPr>
              <w:t>期</w:t>
            </w:r>
            <w:r>
              <w:rPr>
                <w:sz w:val="21"/>
              </w:rPr>
              <w:t>：</w:t>
            </w:r>
          </w:p>
        </w:tc>
      </w:tr>
    </w:tbl>
    <w:p>
      <w:pPr>
        <w:spacing w:after="0"/>
        <w:rPr>
          <w:sz w:val="21"/>
        </w:rPr>
        <w:sectPr>
          <w:type w:val="continuous"/>
          <w:pgSz w:w="16840" w:h="11910" w:orient="landscape"/>
          <w:pgMar w:top="1580" w:bottom="1060" w:left="1340" w:right="980"/>
        </w:sectPr>
      </w:pPr>
    </w:p>
    <w:p>
      <w:pPr>
        <w:pStyle w:val="BodyText"/>
        <w:spacing w:before="9"/>
        <w:rPr>
          <w:sz w:val="15"/>
        </w:rPr>
      </w:pPr>
    </w:p>
    <w:p>
      <w:pPr>
        <w:spacing w:after="0"/>
        <w:rPr>
          <w:sz w:val="15"/>
        </w:rPr>
        <w:sectPr>
          <w:pgSz w:w="16840" w:h="11910" w:orient="landscape"/>
          <w:pgMar w:header="876" w:footer="985" w:top="1180" w:bottom="1180" w:left="1340" w:right="980"/>
        </w:sectPr>
      </w:pPr>
    </w:p>
    <w:p>
      <w:pPr>
        <w:pStyle w:val="BodyText"/>
        <w:spacing w:before="77"/>
        <w:ind w:left="220"/>
        <w:rPr>
          <w:rFonts w:ascii="黑体" w:eastAsia="黑体" w:hint="eastAsia"/>
        </w:rPr>
      </w:pPr>
      <w:bookmarkStart w:name="_bookmark16" w:id="24"/>
      <w:bookmarkEnd w:id="24"/>
      <w:r>
        <w:rPr/>
      </w:r>
      <w:r>
        <w:rPr>
          <w:rFonts w:ascii="黑体" w:eastAsia="黑体" w:hint="eastAsia"/>
          <w:spacing w:val="-21"/>
        </w:rPr>
        <w:t>附表 </w:t>
      </w:r>
      <w:r>
        <w:rPr>
          <w:rFonts w:ascii="Arial" w:eastAsia="Arial"/>
        </w:rPr>
        <w:t>3</w:t>
      </w:r>
      <w:r>
        <w:rPr>
          <w:rFonts w:ascii="黑体" w:eastAsia="黑体" w:hint="eastAsia"/>
        </w:rPr>
        <w:t>：</w:t>
      </w:r>
    </w:p>
    <w:p>
      <w:pPr>
        <w:pStyle w:val="BodyText"/>
        <w:spacing w:before="2"/>
        <w:rPr>
          <w:rFonts w:ascii="黑体"/>
          <w:sz w:val="33"/>
        </w:rPr>
      </w:pPr>
      <w:r>
        <w:rPr/>
        <w:br w:type="column"/>
      </w:r>
      <w:r>
        <w:rPr>
          <w:rFonts w:ascii="黑体"/>
          <w:sz w:val="33"/>
        </w:rPr>
      </w:r>
    </w:p>
    <w:p>
      <w:pPr>
        <w:pStyle w:val="Heading1"/>
      </w:pPr>
      <w:r>
        <w:rPr/>
        <w:t>人员认证机构注册费收入情况表</w:t>
      </w:r>
    </w:p>
    <w:p>
      <w:pPr>
        <w:spacing w:after="0"/>
        <w:sectPr>
          <w:type w:val="continuous"/>
          <w:pgSz w:w="16840" w:h="11910" w:orient="landscape"/>
          <w:pgMar w:top="1580" w:bottom="1060" w:left="1340" w:right="980"/>
          <w:cols w:num="2" w:equalWidth="0">
            <w:col w:w="1175" w:space="3165"/>
            <w:col w:w="10180"/>
          </w:cols>
        </w:sectPr>
      </w:pPr>
    </w:p>
    <w:p>
      <w:pPr>
        <w:pStyle w:val="BodyText"/>
        <w:spacing w:before="162" w:after="44"/>
        <w:ind w:left="220"/>
      </w:pPr>
      <w:r>
        <w:rPr/>
        <w:pict>
          <v:line style="position:absolute;mso-position-horizontal-relative:page;mso-position-vertical-relative:paragraph;z-index:-47056" from="72.839996pt,26.099991pt" to="149.779996pt,82.289991pt" stroked="true" strokeweight=".48pt" strokecolor="#000000">
            <v:stroke dashstyle="solid"/>
            <w10:wrap type="none"/>
          </v:line>
        </w:pict>
      </w:r>
      <w:r>
        <w:rPr/>
        <w:t>认证机构名称：</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1980"/>
        <w:gridCol w:w="1981"/>
        <w:gridCol w:w="1981"/>
        <w:gridCol w:w="1981"/>
        <w:gridCol w:w="1982"/>
        <w:gridCol w:w="1801"/>
        <w:gridCol w:w="1036"/>
      </w:tblGrid>
      <w:tr>
        <w:trPr>
          <w:trHeight w:val="1123" w:hRule="atLeast"/>
        </w:trPr>
        <w:tc>
          <w:tcPr>
            <w:tcW w:w="1548" w:type="dxa"/>
          </w:tcPr>
          <w:p>
            <w:pPr>
              <w:pStyle w:val="TableParagraph"/>
              <w:spacing w:before="2"/>
              <w:ind w:left="456"/>
              <w:rPr>
                <w:b/>
                <w:sz w:val="24"/>
              </w:rPr>
            </w:pPr>
            <w:r>
              <w:rPr>
                <w:b/>
                <w:sz w:val="24"/>
              </w:rPr>
              <w:t>注册类型</w:t>
            </w:r>
          </w:p>
          <w:p>
            <w:pPr>
              <w:pStyle w:val="TableParagraph"/>
              <w:spacing w:before="4"/>
              <w:rPr>
                <w:sz w:val="33"/>
              </w:rPr>
            </w:pPr>
          </w:p>
          <w:p>
            <w:pPr>
              <w:pStyle w:val="TableParagraph"/>
              <w:spacing w:before="1"/>
              <w:ind w:left="107"/>
              <w:rPr>
                <w:b/>
                <w:sz w:val="24"/>
              </w:rPr>
            </w:pPr>
            <w:r>
              <w:rPr>
                <w:b/>
                <w:sz w:val="24"/>
              </w:rPr>
              <w:t>领域</w:t>
            </w:r>
          </w:p>
        </w:tc>
        <w:tc>
          <w:tcPr>
            <w:tcW w:w="1980" w:type="dxa"/>
          </w:tcPr>
          <w:p>
            <w:pPr>
              <w:pStyle w:val="TableParagraph"/>
              <w:spacing w:line="302" w:lineRule="auto" w:before="175"/>
              <w:ind w:left="749" w:right="134" w:hanging="603"/>
              <w:rPr>
                <w:b/>
                <w:sz w:val="24"/>
              </w:rPr>
            </w:pPr>
            <w:r>
              <w:rPr>
                <w:b/>
                <w:sz w:val="24"/>
              </w:rPr>
              <w:t>实习审核员注册人数</w:t>
            </w:r>
          </w:p>
        </w:tc>
        <w:tc>
          <w:tcPr>
            <w:tcW w:w="1981" w:type="dxa"/>
          </w:tcPr>
          <w:p>
            <w:pPr>
              <w:pStyle w:val="TableParagraph"/>
              <w:spacing w:line="302" w:lineRule="auto" w:before="175"/>
              <w:ind w:left="749" w:right="135" w:hanging="603"/>
              <w:rPr>
                <w:b/>
                <w:sz w:val="24"/>
              </w:rPr>
            </w:pPr>
            <w:r>
              <w:rPr>
                <w:b/>
                <w:sz w:val="24"/>
              </w:rPr>
              <w:t>级别审核员注册人数</w:t>
            </w:r>
          </w:p>
        </w:tc>
        <w:tc>
          <w:tcPr>
            <w:tcW w:w="1981" w:type="dxa"/>
          </w:tcPr>
          <w:p>
            <w:pPr>
              <w:pStyle w:val="TableParagraph"/>
              <w:spacing w:line="302" w:lineRule="auto" w:before="175"/>
              <w:ind w:left="266" w:right="258" w:firstLine="120"/>
              <w:rPr>
                <w:b/>
                <w:sz w:val="24"/>
              </w:rPr>
            </w:pPr>
            <w:r>
              <w:rPr>
                <w:b/>
                <w:sz w:val="24"/>
              </w:rPr>
              <w:t>级别审核员年度确认人数</w:t>
            </w:r>
          </w:p>
        </w:tc>
        <w:tc>
          <w:tcPr>
            <w:tcW w:w="1981" w:type="dxa"/>
          </w:tcPr>
          <w:p>
            <w:pPr>
              <w:pStyle w:val="TableParagraph"/>
              <w:spacing w:line="302" w:lineRule="auto" w:before="175"/>
              <w:ind w:left="385" w:right="379"/>
              <w:rPr>
                <w:b/>
                <w:sz w:val="24"/>
              </w:rPr>
            </w:pPr>
            <w:r>
              <w:rPr>
                <w:b/>
                <w:sz w:val="24"/>
              </w:rPr>
              <w:t>级别审核员再注册人数</w:t>
            </w:r>
          </w:p>
        </w:tc>
        <w:tc>
          <w:tcPr>
            <w:tcW w:w="1982" w:type="dxa"/>
          </w:tcPr>
          <w:p>
            <w:pPr>
              <w:pStyle w:val="TableParagraph"/>
              <w:spacing w:line="302" w:lineRule="auto" w:before="175"/>
              <w:ind w:left="504" w:right="261" w:hanging="240"/>
              <w:rPr>
                <w:b/>
                <w:sz w:val="24"/>
              </w:rPr>
            </w:pPr>
            <w:r>
              <w:rPr>
                <w:b/>
                <w:sz w:val="24"/>
              </w:rPr>
              <w:t>境外注册资格转换人数</w:t>
            </w:r>
          </w:p>
        </w:tc>
        <w:tc>
          <w:tcPr>
            <w:tcW w:w="1801" w:type="dxa"/>
          </w:tcPr>
          <w:p>
            <w:pPr>
              <w:pStyle w:val="TableParagraph"/>
              <w:spacing w:before="10"/>
              <w:rPr>
                <w:sz w:val="28"/>
              </w:rPr>
            </w:pPr>
          </w:p>
          <w:p>
            <w:pPr>
              <w:pStyle w:val="TableParagraph"/>
              <w:ind w:left="274" w:right="272"/>
              <w:jc w:val="center"/>
              <w:rPr>
                <w:b/>
                <w:sz w:val="24"/>
              </w:rPr>
            </w:pPr>
            <w:r>
              <w:rPr>
                <w:b/>
                <w:sz w:val="24"/>
              </w:rPr>
              <w:t>注册费总计</w:t>
            </w:r>
          </w:p>
        </w:tc>
        <w:tc>
          <w:tcPr>
            <w:tcW w:w="1036" w:type="dxa"/>
          </w:tcPr>
          <w:p>
            <w:pPr>
              <w:pStyle w:val="TableParagraph"/>
              <w:spacing w:before="10"/>
              <w:rPr>
                <w:sz w:val="28"/>
              </w:rPr>
            </w:pPr>
          </w:p>
          <w:p>
            <w:pPr>
              <w:pStyle w:val="TableParagraph"/>
              <w:ind w:left="271"/>
              <w:rPr>
                <w:b/>
                <w:sz w:val="24"/>
              </w:rPr>
            </w:pPr>
            <w:r>
              <w:rPr>
                <w:b/>
                <w:sz w:val="24"/>
              </w:rPr>
              <w:t>备注</w:t>
            </w:r>
          </w:p>
        </w:tc>
      </w:tr>
      <w:tr>
        <w:trPr>
          <w:trHeight w:val="779" w:hRule="atLeast"/>
        </w:trPr>
        <w:tc>
          <w:tcPr>
            <w:tcW w:w="1548" w:type="dxa"/>
          </w:tcPr>
          <w:p>
            <w:pPr>
              <w:pStyle w:val="TableParagraph"/>
              <w:spacing w:before="2"/>
              <w:ind w:left="172"/>
              <w:rPr>
                <w:sz w:val="24"/>
              </w:rPr>
            </w:pPr>
            <w:r>
              <w:rPr>
                <w:sz w:val="24"/>
              </w:rPr>
              <w:t>质量管理体</w:t>
            </w:r>
          </w:p>
          <w:p>
            <w:pPr>
              <w:pStyle w:val="TableParagraph"/>
              <w:spacing w:before="81"/>
              <w:ind w:left="153"/>
              <w:rPr>
                <w:sz w:val="24"/>
              </w:rPr>
            </w:pPr>
            <w:r>
              <w:rPr>
                <w:w w:val="95"/>
                <w:sz w:val="24"/>
              </w:rPr>
              <w:t>系（</w:t>
            </w:r>
            <w:r>
              <w:rPr>
                <w:rFonts w:ascii="Times New Roman" w:eastAsia="Times New Roman"/>
                <w:w w:val="95"/>
                <w:sz w:val="24"/>
              </w:rPr>
              <w:t>QMS</w:t>
            </w:r>
            <w:r>
              <w:rPr>
                <w:w w:val="95"/>
                <w:sz w:val="24"/>
              </w:rPr>
              <w:t>）</w:t>
            </w:r>
          </w:p>
        </w:tc>
        <w:tc>
          <w:tcPr>
            <w:tcW w:w="1980" w:type="dxa"/>
          </w:tcPr>
          <w:p>
            <w:pPr>
              <w:pStyle w:val="TableParagraph"/>
              <w:rPr>
                <w:rFonts w:ascii="Times New Roman"/>
                <w:sz w:val="22"/>
              </w:rPr>
            </w:pPr>
          </w:p>
        </w:tc>
        <w:tc>
          <w:tcPr>
            <w:tcW w:w="1981" w:type="dxa"/>
          </w:tcPr>
          <w:p>
            <w:pPr>
              <w:pStyle w:val="TableParagraph"/>
              <w:rPr>
                <w:rFonts w:ascii="Times New Roman"/>
                <w:sz w:val="22"/>
              </w:rPr>
            </w:pPr>
          </w:p>
        </w:tc>
        <w:tc>
          <w:tcPr>
            <w:tcW w:w="1981" w:type="dxa"/>
          </w:tcPr>
          <w:p>
            <w:pPr>
              <w:pStyle w:val="TableParagraph"/>
              <w:rPr>
                <w:rFonts w:ascii="Times New Roman"/>
                <w:sz w:val="22"/>
              </w:rPr>
            </w:pPr>
          </w:p>
        </w:tc>
        <w:tc>
          <w:tcPr>
            <w:tcW w:w="1981" w:type="dxa"/>
          </w:tcPr>
          <w:p>
            <w:pPr>
              <w:pStyle w:val="TableParagraph"/>
              <w:rPr>
                <w:rFonts w:ascii="Times New Roman"/>
                <w:sz w:val="22"/>
              </w:rPr>
            </w:pPr>
          </w:p>
        </w:tc>
        <w:tc>
          <w:tcPr>
            <w:tcW w:w="1982" w:type="dxa"/>
          </w:tcPr>
          <w:p>
            <w:pPr>
              <w:pStyle w:val="TableParagraph"/>
              <w:rPr>
                <w:rFonts w:ascii="Times New Roman"/>
                <w:sz w:val="22"/>
              </w:rPr>
            </w:pPr>
          </w:p>
        </w:tc>
        <w:tc>
          <w:tcPr>
            <w:tcW w:w="1801" w:type="dxa"/>
          </w:tcPr>
          <w:p>
            <w:pPr>
              <w:pStyle w:val="TableParagraph"/>
              <w:spacing w:line="268" w:lineRule="exact"/>
              <w:ind w:left="272" w:right="272"/>
              <w:jc w:val="center"/>
              <w:rPr>
                <w:rFonts w:ascii="Times New Roman"/>
                <w:sz w:val="24"/>
              </w:rPr>
            </w:pPr>
            <w:r>
              <w:rPr>
                <w:rFonts w:ascii="Times New Roman"/>
                <w:sz w:val="24"/>
              </w:rPr>
              <w:t>--</w:t>
            </w:r>
          </w:p>
        </w:tc>
        <w:tc>
          <w:tcPr>
            <w:tcW w:w="1036" w:type="dxa"/>
          </w:tcPr>
          <w:p>
            <w:pPr>
              <w:pStyle w:val="TableParagraph"/>
              <w:rPr>
                <w:rFonts w:ascii="Times New Roman"/>
                <w:sz w:val="22"/>
              </w:rPr>
            </w:pPr>
          </w:p>
        </w:tc>
      </w:tr>
      <w:tr>
        <w:trPr>
          <w:trHeight w:val="342" w:hRule="atLeast"/>
        </w:trPr>
        <w:tc>
          <w:tcPr>
            <w:tcW w:w="1548" w:type="dxa"/>
          </w:tcPr>
          <w:p>
            <w:pPr>
              <w:pStyle w:val="TableParagraph"/>
              <w:rPr>
                <w:rFonts w:ascii="Times New Roman"/>
                <w:sz w:val="22"/>
              </w:rPr>
            </w:pPr>
          </w:p>
        </w:tc>
        <w:tc>
          <w:tcPr>
            <w:tcW w:w="1980" w:type="dxa"/>
          </w:tcPr>
          <w:p>
            <w:pPr>
              <w:pStyle w:val="TableParagraph"/>
              <w:rPr>
                <w:rFonts w:ascii="Times New Roman"/>
                <w:sz w:val="22"/>
              </w:rPr>
            </w:pPr>
          </w:p>
        </w:tc>
        <w:tc>
          <w:tcPr>
            <w:tcW w:w="1981" w:type="dxa"/>
          </w:tcPr>
          <w:p>
            <w:pPr>
              <w:pStyle w:val="TableParagraph"/>
              <w:rPr>
                <w:rFonts w:ascii="Times New Roman"/>
                <w:sz w:val="22"/>
              </w:rPr>
            </w:pPr>
          </w:p>
        </w:tc>
        <w:tc>
          <w:tcPr>
            <w:tcW w:w="1981" w:type="dxa"/>
          </w:tcPr>
          <w:p>
            <w:pPr>
              <w:pStyle w:val="TableParagraph"/>
              <w:rPr>
                <w:rFonts w:ascii="Times New Roman"/>
                <w:sz w:val="22"/>
              </w:rPr>
            </w:pPr>
          </w:p>
        </w:tc>
        <w:tc>
          <w:tcPr>
            <w:tcW w:w="1981" w:type="dxa"/>
          </w:tcPr>
          <w:p>
            <w:pPr>
              <w:pStyle w:val="TableParagraph"/>
              <w:rPr>
                <w:rFonts w:ascii="Times New Roman"/>
                <w:sz w:val="22"/>
              </w:rPr>
            </w:pPr>
          </w:p>
        </w:tc>
        <w:tc>
          <w:tcPr>
            <w:tcW w:w="1982" w:type="dxa"/>
          </w:tcPr>
          <w:p>
            <w:pPr>
              <w:pStyle w:val="TableParagraph"/>
              <w:rPr>
                <w:rFonts w:ascii="Times New Roman"/>
                <w:sz w:val="22"/>
              </w:rPr>
            </w:pPr>
          </w:p>
        </w:tc>
        <w:tc>
          <w:tcPr>
            <w:tcW w:w="1801" w:type="dxa"/>
          </w:tcPr>
          <w:p>
            <w:pPr>
              <w:pStyle w:val="TableParagraph"/>
              <w:spacing w:line="268" w:lineRule="exact"/>
              <w:ind w:left="272" w:right="272"/>
              <w:jc w:val="center"/>
              <w:rPr>
                <w:rFonts w:ascii="Times New Roman"/>
                <w:sz w:val="24"/>
              </w:rPr>
            </w:pPr>
            <w:r>
              <w:rPr>
                <w:rFonts w:ascii="Times New Roman"/>
                <w:sz w:val="24"/>
              </w:rPr>
              <w:t>--</w:t>
            </w:r>
          </w:p>
        </w:tc>
        <w:tc>
          <w:tcPr>
            <w:tcW w:w="1036" w:type="dxa"/>
          </w:tcPr>
          <w:p>
            <w:pPr>
              <w:pStyle w:val="TableParagraph"/>
              <w:rPr>
                <w:rFonts w:ascii="Times New Roman"/>
                <w:sz w:val="22"/>
              </w:rPr>
            </w:pPr>
          </w:p>
        </w:tc>
      </w:tr>
      <w:tr>
        <w:trPr>
          <w:trHeight w:val="779" w:hRule="atLeast"/>
        </w:trPr>
        <w:tc>
          <w:tcPr>
            <w:tcW w:w="1548" w:type="dxa"/>
          </w:tcPr>
          <w:p>
            <w:pPr>
              <w:pStyle w:val="TableParagraph"/>
              <w:spacing w:before="4"/>
              <w:ind w:left="8"/>
              <w:jc w:val="center"/>
              <w:rPr>
                <w:sz w:val="24"/>
              </w:rPr>
            </w:pPr>
            <w:r>
              <w:rPr>
                <w:sz w:val="24"/>
              </w:rPr>
              <w:t>注册人数</w:t>
            </w:r>
          </w:p>
          <w:p>
            <w:pPr>
              <w:pStyle w:val="TableParagraph"/>
              <w:tabs>
                <w:tab w:pos="487" w:val="left" w:leader="none"/>
              </w:tabs>
              <w:spacing w:before="82"/>
              <w:ind w:left="8"/>
              <w:jc w:val="center"/>
              <w:rPr>
                <w:sz w:val="24"/>
              </w:rPr>
            </w:pPr>
            <w:r>
              <w:rPr>
                <w:sz w:val="24"/>
              </w:rPr>
              <w:t>合</w:t>
              <w:tab/>
              <w:t>计</w:t>
            </w:r>
          </w:p>
        </w:tc>
        <w:tc>
          <w:tcPr>
            <w:tcW w:w="1980" w:type="dxa"/>
          </w:tcPr>
          <w:p>
            <w:pPr>
              <w:pStyle w:val="TableParagraph"/>
              <w:spacing w:before="210"/>
              <w:ind w:left="130" w:right="119"/>
              <w:jc w:val="center"/>
              <w:rPr>
                <w:rFonts w:ascii="Times New Roman"/>
                <w:sz w:val="24"/>
              </w:rPr>
            </w:pPr>
            <w:r>
              <w:rPr>
                <w:rFonts w:ascii="Times New Roman"/>
                <w:sz w:val="24"/>
              </w:rPr>
              <w:t>C1</w:t>
            </w:r>
          </w:p>
        </w:tc>
        <w:tc>
          <w:tcPr>
            <w:tcW w:w="1981" w:type="dxa"/>
          </w:tcPr>
          <w:p>
            <w:pPr>
              <w:pStyle w:val="TableParagraph"/>
              <w:spacing w:before="210"/>
              <w:ind w:left="130" w:right="119"/>
              <w:jc w:val="center"/>
              <w:rPr>
                <w:rFonts w:ascii="Times New Roman"/>
                <w:sz w:val="24"/>
              </w:rPr>
            </w:pPr>
            <w:r>
              <w:rPr>
                <w:rFonts w:ascii="Times New Roman"/>
                <w:sz w:val="24"/>
              </w:rPr>
              <w:t>C2</w:t>
            </w:r>
          </w:p>
        </w:tc>
        <w:tc>
          <w:tcPr>
            <w:tcW w:w="1981" w:type="dxa"/>
          </w:tcPr>
          <w:p>
            <w:pPr>
              <w:pStyle w:val="TableParagraph"/>
              <w:spacing w:before="210"/>
              <w:ind w:left="130" w:right="121"/>
              <w:jc w:val="center"/>
              <w:rPr>
                <w:rFonts w:ascii="Times New Roman"/>
                <w:sz w:val="24"/>
              </w:rPr>
            </w:pPr>
            <w:r>
              <w:rPr>
                <w:rFonts w:ascii="Times New Roman"/>
                <w:sz w:val="24"/>
              </w:rPr>
              <w:t>C3</w:t>
            </w:r>
          </w:p>
        </w:tc>
        <w:tc>
          <w:tcPr>
            <w:tcW w:w="1981" w:type="dxa"/>
          </w:tcPr>
          <w:p>
            <w:pPr>
              <w:pStyle w:val="TableParagraph"/>
              <w:spacing w:before="210"/>
              <w:ind w:left="848"/>
              <w:rPr>
                <w:rFonts w:ascii="Times New Roman"/>
                <w:sz w:val="24"/>
              </w:rPr>
            </w:pPr>
            <w:r>
              <w:rPr>
                <w:rFonts w:ascii="Times New Roman"/>
                <w:sz w:val="24"/>
              </w:rPr>
              <w:t>C4</w:t>
            </w:r>
          </w:p>
        </w:tc>
        <w:tc>
          <w:tcPr>
            <w:tcW w:w="1982" w:type="dxa"/>
          </w:tcPr>
          <w:p>
            <w:pPr>
              <w:pStyle w:val="TableParagraph"/>
              <w:spacing w:before="210"/>
              <w:ind w:left="819" w:right="814"/>
              <w:jc w:val="center"/>
              <w:rPr>
                <w:rFonts w:ascii="Times New Roman"/>
                <w:sz w:val="24"/>
              </w:rPr>
            </w:pPr>
            <w:r>
              <w:rPr>
                <w:rFonts w:ascii="Times New Roman"/>
                <w:sz w:val="24"/>
              </w:rPr>
              <w:t>C5</w:t>
            </w:r>
          </w:p>
        </w:tc>
        <w:tc>
          <w:tcPr>
            <w:tcW w:w="1801" w:type="dxa"/>
          </w:tcPr>
          <w:p>
            <w:pPr>
              <w:pStyle w:val="TableParagraph"/>
              <w:spacing w:before="210"/>
              <w:ind w:left="272" w:right="272"/>
              <w:jc w:val="center"/>
              <w:rPr>
                <w:rFonts w:ascii="Times New Roman"/>
                <w:sz w:val="24"/>
              </w:rPr>
            </w:pPr>
            <w:r>
              <w:rPr>
                <w:rFonts w:ascii="Times New Roman"/>
                <w:sz w:val="24"/>
              </w:rPr>
              <w:t>--</w:t>
            </w:r>
          </w:p>
        </w:tc>
        <w:tc>
          <w:tcPr>
            <w:tcW w:w="1036" w:type="dxa"/>
          </w:tcPr>
          <w:p>
            <w:pPr>
              <w:pStyle w:val="TableParagraph"/>
              <w:rPr>
                <w:rFonts w:ascii="Times New Roman"/>
                <w:sz w:val="22"/>
              </w:rPr>
            </w:pPr>
          </w:p>
        </w:tc>
      </w:tr>
      <w:tr>
        <w:trPr>
          <w:trHeight w:val="681" w:hRule="atLeast"/>
        </w:trPr>
        <w:tc>
          <w:tcPr>
            <w:tcW w:w="1548" w:type="dxa"/>
            <w:vMerge w:val="restart"/>
          </w:tcPr>
          <w:p>
            <w:pPr>
              <w:pStyle w:val="TableParagraph"/>
              <w:rPr>
                <w:sz w:val="24"/>
              </w:rPr>
            </w:pPr>
          </w:p>
          <w:p>
            <w:pPr>
              <w:pStyle w:val="TableParagraph"/>
              <w:spacing w:before="192"/>
              <w:ind w:left="290"/>
              <w:rPr>
                <w:b/>
                <w:sz w:val="24"/>
              </w:rPr>
            </w:pPr>
            <w:r>
              <w:rPr>
                <w:b/>
                <w:sz w:val="24"/>
              </w:rPr>
              <w:t>收费基数</w:t>
            </w:r>
          </w:p>
        </w:tc>
        <w:tc>
          <w:tcPr>
            <w:tcW w:w="1980" w:type="dxa"/>
          </w:tcPr>
          <w:p>
            <w:pPr>
              <w:pStyle w:val="TableParagraph"/>
              <w:spacing w:before="1"/>
              <w:ind w:left="130" w:right="120"/>
              <w:jc w:val="center"/>
              <w:rPr>
                <w:sz w:val="21"/>
              </w:rPr>
            </w:pPr>
            <w:r>
              <w:rPr>
                <w:sz w:val="21"/>
              </w:rPr>
              <w:t>实习审核员注册费</w:t>
            </w:r>
          </w:p>
          <w:p>
            <w:pPr>
              <w:pStyle w:val="TableParagraph"/>
              <w:spacing w:before="72"/>
              <w:ind w:left="130" w:right="118"/>
              <w:jc w:val="center"/>
              <w:rPr>
                <w:sz w:val="21"/>
              </w:rPr>
            </w:pPr>
            <w:r>
              <w:rPr>
                <w:sz w:val="21"/>
              </w:rPr>
              <w:t>收费标准元/人</w:t>
            </w:r>
          </w:p>
        </w:tc>
        <w:tc>
          <w:tcPr>
            <w:tcW w:w="1981" w:type="dxa"/>
          </w:tcPr>
          <w:p>
            <w:pPr>
              <w:pStyle w:val="TableParagraph"/>
              <w:spacing w:before="1"/>
              <w:ind w:left="130" w:right="121"/>
              <w:jc w:val="center"/>
              <w:rPr>
                <w:sz w:val="21"/>
              </w:rPr>
            </w:pPr>
            <w:r>
              <w:rPr>
                <w:sz w:val="21"/>
              </w:rPr>
              <w:t>级别审核员注册费</w:t>
            </w:r>
          </w:p>
          <w:p>
            <w:pPr>
              <w:pStyle w:val="TableParagraph"/>
              <w:spacing w:before="72"/>
              <w:ind w:left="130" w:right="117"/>
              <w:jc w:val="center"/>
              <w:rPr>
                <w:sz w:val="21"/>
              </w:rPr>
            </w:pPr>
            <w:r>
              <w:rPr>
                <w:sz w:val="21"/>
              </w:rPr>
              <w:t>收费标准元/人</w:t>
            </w:r>
          </w:p>
        </w:tc>
        <w:tc>
          <w:tcPr>
            <w:tcW w:w="1981" w:type="dxa"/>
          </w:tcPr>
          <w:p>
            <w:pPr>
              <w:pStyle w:val="TableParagraph"/>
              <w:spacing w:before="1"/>
              <w:ind w:left="148"/>
              <w:rPr>
                <w:sz w:val="21"/>
              </w:rPr>
            </w:pPr>
            <w:r>
              <w:rPr>
                <w:sz w:val="21"/>
              </w:rPr>
              <w:t>级别审核员确认费</w:t>
            </w:r>
          </w:p>
          <w:p>
            <w:pPr>
              <w:pStyle w:val="TableParagraph"/>
              <w:spacing w:before="72"/>
              <w:ind w:left="201"/>
              <w:rPr>
                <w:sz w:val="21"/>
              </w:rPr>
            </w:pPr>
            <w:r>
              <w:rPr>
                <w:sz w:val="21"/>
              </w:rPr>
              <w:t>收费标准）元/人</w:t>
            </w:r>
          </w:p>
        </w:tc>
        <w:tc>
          <w:tcPr>
            <w:tcW w:w="1981" w:type="dxa"/>
          </w:tcPr>
          <w:p>
            <w:pPr>
              <w:pStyle w:val="TableParagraph"/>
              <w:spacing w:before="1"/>
              <w:ind w:left="147"/>
              <w:rPr>
                <w:sz w:val="21"/>
              </w:rPr>
            </w:pPr>
            <w:r>
              <w:rPr>
                <w:sz w:val="21"/>
              </w:rPr>
              <w:t>级别审核员再注册</w:t>
            </w:r>
          </w:p>
          <w:p>
            <w:pPr>
              <w:pStyle w:val="TableParagraph"/>
              <w:spacing w:before="72"/>
              <w:ind w:left="107"/>
              <w:rPr>
                <w:sz w:val="21"/>
              </w:rPr>
            </w:pPr>
            <w:r>
              <w:rPr>
                <w:sz w:val="21"/>
              </w:rPr>
              <w:t>费收费标准）元/人</w:t>
            </w:r>
          </w:p>
        </w:tc>
        <w:tc>
          <w:tcPr>
            <w:tcW w:w="1982" w:type="dxa"/>
          </w:tcPr>
          <w:p>
            <w:pPr>
              <w:pStyle w:val="TableParagraph"/>
              <w:spacing w:before="1"/>
              <w:ind w:left="147"/>
              <w:rPr>
                <w:sz w:val="21"/>
              </w:rPr>
            </w:pPr>
            <w:r>
              <w:rPr>
                <w:sz w:val="21"/>
              </w:rPr>
              <w:t>境外注册资格转换</w:t>
            </w:r>
          </w:p>
          <w:p>
            <w:pPr>
              <w:pStyle w:val="TableParagraph"/>
              <w:spacing w:before="72"/>
              <w:ind w:left="199"/>
              <w:rPr>
                <w:sz w:val="21"/>
              </w:rPr>
            </w:pPr>
            <w:r>
              <w:rPr>
                <w:sz w:val="21"/>
              </w:rPr>
              <w:t>收费标准）元/人</w:t>
            </w:r>
          </w:p>
        </w:tc>
        <w:tc>
          <w:tcPr>
            <w:tcW w:w="1801" w:type="dxa"/>
          </w:tcPr>
          <w:p>
            <w:pPr>
              <w:pStyle w:val="TableParagraph"/>
              <w:spacing w:before="160"/>
              <w:ind w:left="272" w:right="272"/>
              <w:jc w:val="center"/>
              <w:rPr>
                <w:rFonts w:ascii="Times New Roman"/>
                <w:sz w:val="24"/>
              </w:rPr>
            </w:pPr>
            <w:r>
              <w:rPr>
                <w:rFonts w:ascii="Times New Roman"/>
                <w:sz w:val="24"/>
              </w:rPr>
              <w:t>--</w:t>
            </w:r>
          </w:p>
        </w:tc>
        <w:tc>
          <w:tcPr>
            <w:tcW w:w="1036" w:type="dxa"/>
          </w:tcPr>
          <w:p>
            <w:pPr>
              <w:pStyle w:val="TableParagraph"/>
              <w:rPr>
                <w:rFonts w:ascii="Times New Roman"/>
                <w:sz w:val="22"/>
              </w:rPr>
            </w:pPr>
          </w:p>
        </w:tc>
      </w:tr>
      <w:tr>
        <w:trPr>
          <w:trHeight w:val="690" w:hRule="atLeast"/>
        </w:trPr>
        <w:tc>
          <w:tcPr>
            <w:tcW w:w="1548" w:type="dxa"/>
            <w:vMerge/>
            <w:tcBorders>
              <w:top w:val="nil"/>
            </w:tcBorders>
          </w:tcPr>
          <w:p>
            <w:pPr>
              <w:rPr>
                <w:sz w:val="2"/>
                <w:szCs w:val="2"/>
              </w:rPr>
            </w:pPr>
          </w:p>
        </w:tc>
        <w:tc>
          <w:tcPr>
            <w:tcW w:w="1980" w:type="dxa"/>
          </w:tcPr>
          <w:p>
            <w:pPr>
              <w:pStyle w:val="TableParagraph"/>
              <w:spacing w:before="164"/>
              <w:ind w:left="127" w:right="120"/>
              <w:jc w:val="center"/>
              <w:rPr>
                <w:rFonts w:ascii="Times New Roman"/>
                <w:sz w:val="24"/>
              </w:rPr>
            </w:pPr>
            <w:r>
              <w:rPr>
                <w:rFonts w:ascii="Times New Roman"/>
                <w:sz w:val="24"/>
              </w:rPr>
              <w:t>D1</w:t>
            </w:r>
          </w:p>
        </w:tc>
        <w:tc>
          <w:tcPr>
            <w:tcW w:w="1981" w:type="dxa"/>
          </w:tcPr>
          <w:p>
            <w:pPr>
              <w:pStyle w:val="TableParagraph"/>
              <w:spacing w:before="164"/>
              <w:ind w:left="128" w:right="121"/>
              <w:jc w:val="center"/>
              <w:rPr>
                <w:rFonts w:ascii="Times New Roman"/>
                <w:sz w:val="24"/>
              </w:rPr>
            </w:pPr>
            <w:r>
              <w:rPr>
                <w:rFonts w:ascii="Times New Roman"/>
                <w:sz w:val="24"/>
              </w:rPr>
              <w:t>D2</w:t>
            </w:r>
          </w:p>
        </w:tc>
        <w:tc>
          <w:tcPr>
            <w:tcW w:w="1981" w:type="dxa"/>
          </w:tcPr>
          <w:p>
            <w:pPr>
              <w:pStyle w:val="TableParagraph"/>
              <w:spacing w:before="164"/>
              <w:ind w:left="126" w:right="121"/>
              <w:jc w:val="center"/>
              <w:rPr>
                <w:rFonts w:ascii="Times New Roman"/>
                <w:sz w:val="24"/>
              </w:rPr>
            </w:pPr>
            <w:r>
              <w:rPr>
                <w:rFonts w:ascii="Times New Roman"/>
                <w:sz w:val="24"/>
              </w:rPr>
              <w:t>D3</w:t>
            </w:r>
          </w:p>
        </w:tc>
        <w:tc>
          <w:tcPr>
            <w:tcW w:w="1981" w:type="dxa"/>
          </w:tcPr>
          <w:p>
            <w:pPr>
              <w:pStyle w:val="TableParagraph"/>
              <w:spacing w:before="164"/>
              <w:ind w:left="841"/>
              <w:rPr>
                <w:rFonts w:ascii="Times New Roman"/>
                <w:sz w:val="24"/>
              </w:rPr>
            </w:pPr>
            <w:r>
              <w:rPr>
                <w:rFonts w:ascii="Times New Roman"/>
                <w:sz w:val="24"/>
              </w:rPr>
              <w:t>D4</w:t>
            </w:r>
          </w:p>
        </w:tc>
        <w:tc>
          <w:tcPr>
            <w:tcW w:w="1982" w:type="dxa"/>
          </w:tcPr>
          <w:p>
            <w:pPr>
              <w:pStyle w:val="TableParagraph"/>
              <w:spacing w:before="164"/>
              <w:ind w:left="819" w:right="818"/>
              <w:jc w:val="center"/>
              <w:rPr>
                <w:rFonts w:ascii="Times New Roman"/>
                <w:sz w:val="24"/>
              </w:rPr>
            </w:pPr>
            <w:r>
              <w:rPr>
                <w:rFonts w:ascii="Times New Roman"/>
                <w:sz w:val="24"/>
              </w:rPr>
              <w:t>D5</w:t>
            </w:r>
          </w:p>
        </w:tc>
        <w:tc>
          <w:tcPr>
            <w:tcW w:w="1801" w:type="dxa"/>
          </w:tcPr>
          <w:p>
            <w:pPr>
              <w:pStyle w:val="TableParagraph"/>
              <w:spacing w:line="270" w:lineRule="exact"/>
              <w:ind w:left="104"/>
              <w:rPr>
                <w:rFonts w:ascii="Times New Roman" w:hAnsi="Times New Roman"/>
                <w:sz w:val="24"/>
              </w:rPr>
            </w:pPr>
            <w:r>
              <w:rPr>
                <w:rFonts w:ascii="Times New Roman" w:hAnsi="Times New Roman"/>
                <w:sz w:val="24"/>
              </w:rPr>
              <w:t>C1</w:t>
            </w:r>
            <w:r>
              <w:rPr>
                <w:rFonts w:ascii="Arial" w:hAnsi="Arial"/>
                <w:sz w:val="24"/>
              </w:rPr>
              <w:t>×</w:t>
            </w:r>
            <w:r>
              <w:rPr>
                <w:rFonts w:ascii="Times New Roman" w:hAnsi="Times New Roman"/>
                <w:sz w:val="24"/>
              </w:rPr>
              <w:t>D1+C2</w:t>
            </w:r>
            <w:r>
              <w:rPr>
                <w:rFonts w:ascii="Arial" w:hAnsi="Arial"/>
                <w:sz w:val="24"/>
              </w:rPr>
              <w:t>×</w:t>
            </w:r>
            <w:r>
              <w:rPr>
                <w:rFonts w:ascii="Times New Roman" w:hAnsi="Times New Roman"/>
                <w:sz w:val="24"/>
              </w:rPr>
              <w:t>D2</w:t>
            </w:r>
          </w:p>
          <w:p>
            <w:pPr>
              <w:pStyle w:val="TableParagraph"/>
              <w:spacing w:before="68"/>
              <w:ind w:left="104"/>
              <w:rPr>
                <w:rFonts w:ascii="Arial" w:hAnsi="Arial"/>
                <w:sz w:val="24"/>
              </w:rPr>
            </w:pPr>
            <w:r>
              <w:rPr>
                <w:rFonts w:ascii="Times New Roman" w:hAnsi="Times New Roman"/>
                <w:sz w:val="24"/>
              </w:rPr>
              <w:t>+</w:t>
            </w:r>
            <w:r>
              <w:rPr>
                <w:rFonts w:ascii="Arial" w:hAnsi="Arial"/>
                <w:sz w:val="24"/>
              </w:rPr>
              <w:t>……</w:t>
            </w:r>
          </w:p>
        </w:tc>
        <w:tc>
          <w:tcPr>
            <w:tcW w:w="1036" w:type="dxa"/>
          </w:tcPr>
          <w:p>
            <w:pPr>
              <w:pStyle w:val="TableParagraph"/>
              <w:rPr>
                <w:rFonts w:ascii="Times New Roman"/>
                <w:sz w:val="22"/>
              </w:rPr>
            </w:pPr>
          </w:p>
        </w:tc>
      </w:tr>
      <w:tr>
        <w:trPr>
          <w:trHeight w:val="1946" w:hRule="atLeast"/>
        </w:trPr>
        <w:tc>
          <w:tcPr>
            <w:tcW w:w="1548" w:type="dxa"/>
          </w:tcPr>
          <w:p>
            <w:pPr>
              <w:pStyle w:val="TableParagraph"/>
              <w:spacing w:before="6"/>
              <w:rPr>
                <w:sz w:val="30"/>
              </w:rPr>
            </w:pPr>
          </w:p>
          <w:p>
            <w:pPr>
              <w:pStyle w:val="TableParagraph"/>
              <w:tabs>
                <w:tab w:pos="1012" w:val="left" w:leader="none"/>
              </w:tabs>
              <w:ind w:left="293"/>
              <w:rPr>
                <w:sz w:val="24"/>
              </w:rPr>
            </w:pPr>
            <w:r>
              <w:rPr>
                <w:sz w:val="24"/>
              </w:rPr>
              <w:t>年</w:t>
              <w:tab/>
              <w:t>金</w:t>
            </w:r>
          </w:p>
          <w:p>
            <w:pPr>
              <w:pStyle w:val="TableParagraph"/>
              <w:tabs>
                <w:tab w:pos="1012" w:val="left" w:leader="none"/>
              </w:tabs>
              <w:spacing w:before="84"/>
              <w:ind w:left="293"/>
              <w:rPr>
                <w:sz w:val="24"/>
              </w:rPr>
            </w:pPr>
            <w:r>
              <w:rPr>
                <w:sz w:val="24"/>
              </w:rPr>
              <w:t>交</w:t>
              <w:tab/>
              <w:t>付</w:t>
            </w:r>
          </w:p>
          <w:p>
            <w:pPr>
              <w:pStyle w:val="TableParagraph"/>
              <w:tabs>
                <w:tab w:pos="1012" w:val="left" w:leader="none"/>
              </w:tabs>
              <w:spacing w:before="82"/>
              <w:ind w:left="293"/>
              <w:rPr>
                <w:sz w:val="24"/>
              </w:rPr>
            </w:pPr>
            <w:r>
              <w:rPr>
                <w:sz w:val="24"/>
              </w:rPr>
              <w:t>核</w:t>
              <w:tab/>
              <w:t>算</w:t>
            </w:r>
          </w:p>
        </w:tc>
        <w:tc>
          <w:tcPr>
            <w:tcW w:w="12742" w:type="dxa"/>
            <w:gridSpan w:val="7"/>
          </w:tcPr>
          <w:p>
            <w:pPr>
              <w:pStyle w:val="TableParagraph"/>
              <w:spacing w:before="2"/>
              <w:ind w:left="108"/>
              <w:rPr>
                <w:sz w:val="24"/>
              </w:rPr>
            </w:pPr>
            <w:r>
              <w:rPr>
                <w:sz w:val="24"/>
              </w:rPr>
              <w:t>□ 本机构认可年金的付款额为：</w:t>
            </w:r>
          </w:p>
          <w:p>
            <w:pPr>
              <w:pStyle w:val="TableParagraph"/>
              <w:tabs>
                <w:tab w:pos="3799" w:val="left" w:leader="none"/>
              </w:tabs>
              <w:spacing w:line="304" w:lineRule="auto" w:before="81"/>
              <w:ind w:left="468" w:right="7731"/>
              <w:rPr>
                <w:sz w:val="24"/>
              </w:rPr>
            </w:pPr>
            <w:r>
              <w:rPr>
                <w:sz w:val="24"/>
              </w:rPr>
              <w:t>注册费总计</w:t>
            </w:r>
            <w:r>
              <w:rPr>
                <w:sz w:val="21"/>
              </w:rPr>
              <w:t>×</w:t>
            </w:r>
            <w:r>
              <w:rPr>
                <w:sz w:val="24"/>
              </w:rPr>
              <w:t>1%=</w:t>
              <w:tab/>
              <w:t>元(人民币</w:t>
            </w:r>
            <w:r>
              <w:rPr>
                <w:spacing w:val="-18"/>
                <w:sz w:val="24"/>
              </w:rPr>
              <w:t>) </w:t>
            </w:r>
            <w:r>
              <w:rPr>
                <w:sz w:val="24"/>
              </w:rPr>
              <w:t>大写：</w:t>
            </w:r>
          </w:p>
          <w:p>
            <w:pPr>
              <w:pStyle w:val="TableParagraph"/>
              <w:spacing w:before="4"/>
              <w:rPr>
                <w:sz w:val="30"/>
              </w:rPr>
            </w:pPr>
          </w:p>
          <w:p>
            <w:pPr>
              <w:pStyle w:val="TableParagraph"/>
              <w:tabs>
                <w:tab w:pos="2268" w:val="left" w:leader="none"/>
                <w:tab w:pos="3108" w:val="left" w:leader="none"/>
                <w:tab w:pos="3948" w:val="left" w:leader="none"/>
                <w:tab w:pos="7069" w:val="left" w:leader="none"/>
              </w:tabs>
              <w:ind w:left="108"/>
              <w:rPr>
                <w:sz w:val="24"/>
              </w:rPr>
            </w:pPr>
            <w:r>
              <w:rPr>
                <w:sz w:val="24"/>
              </w:rPr>
              <w:t>上述款项已于</w:t>
              <w:tab/>
              <w:t>年</w:t>
              <w:tab/>
              <w:t>月</w:t>
              <w:tab/>
              <w:t>日通过</w:t>
              <w:tab/>
              <w:t>银行汇给</w:t>
            </w:r>
            <w:r>
              <w:rPr>
                <w:spacing w:val="-60"/>
                <w:sz w:val="24"/>
              </w:rPr>
              <w:t> </w:t>
            </w:r>
            <w:r>
              <w:rPr>
                <w:sz w:val="24"/>
              </w:rPr>
              <w:t>CNAS。</w:t>
            </w:r>
          </w:p>
        </w:tc>
      </w:tr>
      <w:tr>
        <w:trPr>
          <w:trHeight w:val="839" w:hRule="atLeast"/>
        </w:trPr>
        <w:tc>
          <w:tcPr>
            <w:tcW w:w="14290" w:type="dxa"/>
            <w:gridSpan w:val="8"/>
          </w:tcPr>
          <w:p>
            <w:pPr>
              <w:pStyle w:val="TableParagraph"/>
              <w:spacing w:before="62"/>
              <w:ind w:left="107"/>
              <w:rPr>
                <w:sz w:val="24"/>
              </w:rPr>
            </w:pPr>
            <w:r>
              <w:rPr>
                <w:sz w:val="24"/>
              </w:rPr>
              <w:t>本机构确认上述信息准确、属实,如有虚报、瞒报等失实情况，将承担由此引发的认可资格暂停或撤销的后果。</w:t>
            </w:r>
          </w:p>
          <w:p>
            <w:pPr>
              <w:pStyle w:val="TableParagraph"/>
              <w:tabs>
                <w:tab w:pos="3708" w:val="left" w:leader="none"/>
                <w:tab w:pos="6895" w:val="left" w:leader="none"/>
                <w:tab w:pos="11936" w:val="left" w:leader="none"/>
              </w:tabs>
              <w:spacing w:before="84"/>
              <w:ind w:left="107"/>
              <w:rPr>
                <w:sz w:val="24"/>
              </w:rPr>
            </w:pPr>
            <w:r>
              <w:rPr>
                <w:sz w:val="24"/>
              </w:rPr>
              <w:t>制表人：</w:t>
              <w:tab/>
              <w:t>电话</w:t>
            </w:r>
            <w:r>
              <w:rPr>
                <w:rFonts w:ascii="Times New Roman" w:eastAsia="Times New Roman"/>
                <w:sz w:val="24"/>
              </w:rPr>
              <w:t>:</w:t>
              <w:tab/>
            </w:r>
            <w:r>
              <w:rPr>
                <w:sz w:val="24"/>
              </w:rPr>
              <w:t>机构负责人：</w:t>
              <w:tab/>
              <w:t>日期：</w:t>
            </w:r>
          </w:p>
        </w:tc>
      </w:tr>
    </w:tbl>
    <w:p>
      <w:pPr>
        <w:pStyle w:val="BodyText"/>
        <w:spacing w:before="2"/>
        <w:ind w:left="220"/>
      </w:pPr>
      <w:r>
        <w:rPr/>
        <w:t>注：此表仅限具有人员认可资质的认证机构填写。</w:t>
      </w:r>
    </w:p>
    <w:sectPr>
      <w:type w:val="continuous"/>
      <w:pgSz w:w="16840" w:h="11910" w:orient="landscape"/>
      <w:pgMar w:top="1580" w:bottom="106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
    <w:altName w:val="仿宋"/>
    <w:charset w:val="86"/>
    <w:family w:val="modern"/>
    <w:pitch w:val="fixed"/>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1.064003pt;margin-top:787.652527pt;width:88.4pt;height:12.1pt;mso-position-horizontal-relative:page;mso-position-vertical-relative:page;z-index:-47512" type="#_x0000_t202" filled="false" stroked="false">
          <v:textbox inset="0,0,0,0">
            <w:txbxContent>
              <w:p>
                <w:pPr>
                  <w:spacing w:before="3"/>
                  <w:ind w:left="20" w:right="0" w:firstLine="0"/>
                  <w:jc w:val="left"/>
                  <w:rPr>
                    <w:sz w:val="18"/>
                  </w:rPr>
                </w:pPr>
                <w:r>
                  <w:rPr>
                    <w:rFonts w:ascii="Arial" w:eastAsia="Arial"/>
                    <w:sz w:val="18"/>
                  </w:rPr>
                  <w:t>2020 </w:t>
                </w:r>
                <w:r>
                  <w:rPr>
                    <w:spacing w:val="-23"/>
                    <w:sz w:val="18"/>
                  </w:rPr>
                  <w:t>年 </w:t>
                </w:r>
                <w:r>
                  <w:rPr>
                    <w:rFonts w:ascii="Arial" w:eastAsia="Arial"/>
                    <w:sz w:val="18"/>
                  </w:rPr>
                  <w:t>4 </w:t>
                </w:r>
                <w:r>
                  <w:rPr>
                    <w:spacing w:val="-24"/>
                    <w:sz w:val="18"/>
                  </w:rPr>
                  <w:t>月 </w:t>
                </w:r>
                <w:r>
                  <w:rPr>
                    <w:rFonts w:ascii="Arial" w:eastAsia="Arial"/>
                    <w:sz w:val="18"/>
                  </w:rPr>
                  <w:t>1 </w:t>
                </w:r>
                <w:r>
                  <w:rPr>
                    <w:sz w:val="18"/>
                  </w:rPr>
                  <w:t>日发布</w:t>
                </w:r>
              </w:p>
            </w:txbxContent>
          </v:textbox>
          <w10:wrap type="none"/>
        </v:shape>
      </w:pict>
    </w:r>
    <w:r>
      <w:rPr/>
      <w:pict>
        <v:shape style="position:absolute;margin-left:416.070007pt;margin-top:787.652527pt;width:88.35pt;height:12.1pt;mso-position-horizontal-relative:page;mso-position-vertical-relative:page;z-index:-47488" type="#_x0000_t202" filled="false" stroked="false">
          <v:textbox inset="0,0,0,0">
            <w:txbxContent>
              <w:p>
                <w:pPr>
                  <w:spacing w:before="3"/>
                  <w:ind w:left="20" w:right="0" w:firstLine="0"/>
                  <w:jc w:val="left"/>
                  <w:rPr>
                    <w:sz w:val="18"/>
                  </w:rPr>
                </w:pPr>
                <w:r>
                  <w:rPr>
                    <w:rFonts w:ascii="Arial" w:eastAsia="Arial"/>
                    <w:sz w:val="18"/>
                  </w:rPr>
                  <w:t>2020 </w:t>
                </w:r>
                <w:r>
                  <w:rPr>
                    <w:spacing w:val="-23"/>
                    <w:sz w:val="18"/>
                  </w:rPr>
                  <w:t>年 </w:t>
                </w:r>
                <w:r>
                  <w:rPr>
                    <w:rFonts w:ascii="Arial" w:eastAsia="Arial"/>
                    <w:sz w:val="18"/>
                  </w:rPr>
                  <w:t>4 </w:t>
                </w:r>
                <w:r>
                  <w:rPr>
                    <w:spacing w:val="-23"/>
                    <w:sz w:val="18"/>
                  </w:rPr>
                  <w:t>月 </w:t>
                </w:r>
                <w:r>
                  <w:rPr>
                    <w:rFonts w:ascii="Arial" w:eastAsia="Arial"/>
                    <w:sz w:val="18"/>
                  </w:rPr>
                  <w:t>1 </w:t>
                </w:r>
                <w:r>
                  <w:rPr>
                    <w:sz w:val="18"/>
                  </w:rPr>
                  <w:t>日实施</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7392" from="76.584pt,779.159973pt" to="518.9740pt,779.159973pt" stroked="true" strokeweight=".72003pt" strokecolor="#000000">
          <v:stroke dashstyle="solid"/>
          <w10:wrap type="none"/>
        </v:line>
      </w:pict>
    </w:r>
    <w:r>
      <w:rPr/>
      <w:pict>
        <v:shape style="position:absolute;margin-left:89.984001pt;margin-top:780.692505pt;width:90.7pt;height:12.1pt;mso-position-horizontal-relative:page;mso-position-vertical-relative:page;z-index:-47368" type="#_x0000_t202" filled="false" stroked="false">
          <v:textbox inset="0,0,0,0">
            <w:txbxContent>
              <w:p>
                <w:pPr>
                  <w:spacing w:before="3"/>
                  <w:ind w:left="20" w:right="0" w:firstLine="0"/>
                  <w:jc w:val="left"/>
                  <w:rPr>
                    <w:sz w:val="18"/>
                  </w:rPr>
                </w:pPr>
                <w:r>
                  <w:rPr>
                    <w:rFonts w:ascii="Arial" w:eastAsia="Arial"/>
                    <w:sz w:val="18"/>
                  </w:rPr>
                  <w:t>2020 </w:t>
                </w:r>
                <w:r>
                  <w:rPr>
                    <w:spacing w:val="-23"/>
                    <w:sz w:val="18"/>
                  </w:rPr>
                  <w:t>年 </w:t>
                </w:r>
                <w:r>
                  <w:rPr>
                    <w:rFonts w:ascii="Arial" w:eastAsia="Arial"/>
                    <w:sz w:val="18"/>
                  </w:rPr>
                  <w:t>4 </w:t>
                </w:r>
                <w:r>
                  <w:rPr>
                    <w:spacing w:val="-24"/>
                    <w:sz w:val="18"/>
                  </w:rPr>
                  <w:t>月 </w:t>
                </w:r>
                <w:r>
                  <w:rPr>
                    <w:rFonts w:ascii="Arial" w:eastAsia="Arial"/>
                    <w:sz w:val="18"/>
                  </w:rPr>
                  <w:t>1 </w:t>
                </w:r>
                <w:r>
                  <w:rPr>
                    <w:sz w:val="18"/>
                  </w:rPr>
                  <w:t>日发布</w:t>
                </w:r>
              </w:p>
            </w:txbxContent>
          </v:textbox>
          <w10:wrap type="none"/>
        </v:shape>
      </w:pict>
    </w:r>
    <w:r>
      <w:rPr/>
      <w:pict>
        <v:shape style="position:absolute;margin-left:417.149994pt;margin-top:780.692505pt;width:88.45pt;height:12.1pt;mso-position-horizontal-relative:page;mso-position-vertical-relative:page;z-index:-47344" type="#_x0000_t202" filled="false" stroked="false">
          <v:textbox inset="0,0,0,0">
            <w:txbxContent>
              <w:p>
                <w:pPr>
                  <w:spacing w:before="3"/>
                  <w:ind w:left="20" w:right="0" w:firstLine="0"/>
                  <w:jc w:val="left"/>
                  <w:rPr>
                    <w:sz w:val="18"/>
                  </w:rPr>
                </w:pPr>
                <w:r>
                  <w:rPr>
                    <w:rFonts w:ascii="Arial" w:eastAsia="Arial"/>
                    <w:sz w:val="18"/>
                  </w:rPr>
                  <w:t>2020 </w:t>
                </w:r>
                <w:r>
                  <w:rPr>
                    <w:spacing w:val="-24"/>
                    <w:sz w:val="18"/>
                  </w:rPr>
                  <w:t>年 </w:t>
                </w:r>
                <w:r>
                  <w:rPr>
                    <w:rFonts w:ascii="Arial" w:eastAsia="Arial"/>
                    <w:sz w:val="18"/>
                  </w:rPr>
                  <w:t>4 </w:t>
                </w:r>
                <w:r>
                  <w:rPr>
                    <w:spacing w:val="-23"/>
                    <w:sz w:val="18"/>
                  </w:rPr>
                  <w:t>月 </w:t>
                </w:r>
                <w:r>
                  <w:rPr>
                    <w:rFonts w:ascii="Arial" w:eastAsia="Arial"/>
                    <w:sz w:val="18"/>
                  </w:rPr>
                  <w:t>1 </w:t>
                </w:r>
                <w:r>
                  <w:rPr>
                    <w:sz w:val="18"/>
                  </w:rPr>
                  <w:t>日实施</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7224" from="76.559998pt,532.416016pt" to="765.579998pt,532.416016pt" stroked="true" strokeweight=".71997pt" strokecolor="#000000">
          <v:stroke dashstyle="solid"/>
          <w10:wrap type="none"/>
        </v:line>
      </w:pict>
    </w:r>
    <w:r>
      <w:rPr/>
      <w:pict>
        <v:shape style="position:absolute;margin-left:77pt;margin-top:533.972534pt;width:88.45pt;height:12.1pt;mso-position-horizontal-relative:page;mso-position-vertical-relative:page;z-index:-47200" type="#_x0000_t202" filled="false" stroked="false">
          <v:textbox inset="0,0,0,0">
            <w:txbxContent>
              <w:p>
                <w:pPr>
                  <w:spacing w:before="3"/>
                  <w:ind w:left="20" w:right="0" w:firstLine="0"/>
                  <w:jc w:val="left"/>
                  <w:rPr>
                    <w:sz w:val="18"/>
                  </w:rPr>
                </w:pPr>
                <w:r>
                  <w:rPr>
                    <w:rFonts w:ascii="Arial" w:eastAsia="Arial"/>
                    <w:sz w:val="18"/>
                  </w:rPr>
                  <w:t>2020 </w:t>
                </w:r>
                <w:r>
                  <w:rPr>
                    <w:spacing w:val="-23"/>
                    <w:sz w:val="18"/>
                  </w:rPr>
                  <w:t>年 </w:t>
                </w:r>
                <w:r>
                  <w:rPr>
                    <w:rFonts w:ascii="Arial" w:eastAsia="Arial"/>
                    <w:sz w:val="18"/>
                  </w:rPr>
                  <w:t>4 </w:t>
                </w:r>
                <w:r>
                  <w:rPr>
                    <w:spacing w:val="-24"/>
                    <w:sz w:val="18"/>
                  </w:rPr>
                  <w:t>月 </w:t>
                </w:r>
                <w:r>
                  <w:rPr>
                    <w:rFonts w:ascii="Arial" w:eastAsia="Arial"/>
                    <w:sz w:val="18"/>
                  </w:rPr>
                  <w:t>1 </w:t>
                </w:r>
                <w:r>
                  <w:rPr>
                    <w:sz w:val="18"/>
                  </w:rPr>
                  <w:t>日发布</w:t>
                </w:r>
              </w:p>
            </w:txbxContent>
          </v:textbox>
          <w10:wrap type="none"/>
        </v:shape>
      </w:pict>
    </w:r>
    <w:r>
      <w:rPr/>
      <w:pict>
        <v:shape style="position:absolute;margin-left:658.619995pt;margin-top:533.972534pt;width:88.3pt;height:12.1pt;mso-position-horizontal-relative:page;mso-position-vertical-relative:page;z-index:-47176" type="#_x0000_t202" filled="false" stroked="false">
          <v:textbox inset="0,0,0,0">
            <w:txbxContent>
              <w:p>
                <w:pPr>
                  <w:spacing w:before="3"/>
                  <w:ind w:left="20" w:right="0" w:firstLine="0"/>
                  <w:jc w:val="left"/>
                  <w:rPr>
                    <w:sz w:val="18"/>
                  </w:rPr>
                </w:pPr>
                <w:r>
                  <w:rPr>
                    <w:rFonts w:ascii="Arial" w:eastAsia="Arial"/>
                    <w:sz w:val="18"/>
                  </w:rPr>
                  <w:t>2020 </w:t>
                </w:r>
                <w:r>
                  <w:rPr>
                    <w:spacing w:val="-23"/>
                    <w:sz w:val="18"/>
                  </w:rPr>
                  <w:t>年 </w:t>
                </w:r>
                <w:r>
                  <w:rPr>
                    <w:rFonts w:ascii="Arial" w:eastAsia="Arial"/>
                    <w:sz w:val="18"/>
                  </w:rPr>
                  <w:t>4 </w:t>
                </w:r>
                <w:r>
                  <w:rPr>
                    <w:spacing w:val="-24"/>
                    <w:sz w:val="18"/>
                  </w:rPr>
                  <w:t>月 </w:t>
                </w:r>
                <w:r>
                  <w:rPr>
                    <w:rFonts w:ascii="Arial" w:eastAsia="Arial"/>
                    <w:sz w:val="18"/>
                  </w:rPr>
                  <w:t>1 </w:t>
                </w:r>
                <w:r>
                  <w:rPr>
                    <w:sz w:val="18"/>
                  </w:rPr>
                  <w:t>日实施</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7464" from="76.584pt,55.919979pt" to="518.9740pt,55.919979pt" stroked="true" strokeweight=".72pt" strokecolor="#000000">
          <v:stroke dashstyle="solid"/>
          <w10:wrap type="none"/>
        </v:line>
      </w:pict>
    </w:r>
    <w:r>
      <w:rPr/>
      <w:pict>
        <v:shape style="position:absolute;margin-left:77.024002pt;margin-top:42.812515pt;width:75.7pt;height:12.1pt;mso-position-horizontal-relative:page;mso-position-vertical-relative:page;z-index:-47440" type="#_x0000_t202" filled="false" stroked="false">
          <v:textbox inset="0,0,0,0">
            <w:txbxContent>
              <w:p>
                <w:pPr>
                  <w:spacing w:before="14"/>
                  <w:ind w:left="20" w:right="0" w:firstLine="0"/>
                  <w:jc w:val="left"/>
                  <w:rPr>
                    <w:rFonts w:ascii="Arial"/>
                    <w:sz w:val="18"/>
                  </w:rPr>
                </w:pPr>
                <w:r>
                  <w:rPr>
                    <w:rFonts w:ascii="Arial"/>
                    <w:sz w:val="18"/>
                  </w:rPr>
                  <w:t>CNAS-RC04:2020</w:t>
                </w:r>
              </w:p>
            </w:txbxContent>
          </v:textbox>
          <w10:wrap type="none"/>
        </v:shape>
      </w:pict>
    </w:r>
    <w:r>
      <w:rPr/>
      <w:pict>
        <v:shape style="position:absolute;margin-left:429.899994pt;margin-top:42.812515pt;width:80.5pt;height:12.1pt;mso-position-horizontal-relative:page;mso-position-vertical-relative:page;z-index:-47416" type="#_x0000_t202" filled="false" stroked="false">
          <v:textbox inset="0,0,0,0">
            <w:txbxContent>
              <w:p>
                <w:pPr>
                  <w:spacing w:before="3"/>
                  <w:ind w:left="20" w:right="0" w:firstLine="0"/>
                  <w:jc w:val="left"/>
                  <w:rPr>
                    <w:sz w:val="18"/>
                  </w:rPr>
                </w:pPr>
                <w:r>
                  <w:rPr>
                    <w:sz w:val="18"/>
                  </w:rPr>
                  <w:t>第 </w:t>
                </w:r>
                <w:r>
                  <w:rPr/>
                  <w:fldChar w:fldCharType="begin"/>
                </w:r>
                <w:r>
                  <w:rPr>
                    <w:rFonts w:ascii="Arial" w:eastAsia="Arial"/>
                    <w:sz w:val="18"/>
                  </w:rPr>
                  <w:instrText> PAGE </w:instrText>
                </w:r>
                <w:r>
                  <w:rPr/>
                  <w:fldChar w:fldCharType="separate"/>
                </w:r>
                <w:r>
                  <w:rPr/>
                  <w:t>10</w:t>
                </w:r>
                <w:r>
                  <w:rPr/>
                  <w:fldChar w:fldCharType="end"/>
                </w:r>
                <w:r>
                  <w:rPr>
                    <w:rFonts w:ascii="Arial" w:eastAsia="Arial"/>
                    <w:sz w:val="18"/>
                  </w:rPr>
                  <w:t> </w:t>
                </w:r>
                <w:r>
                  <w:rPr>
                    <w:sz w:val="18"/>
                  </w:rPr>
                  <w:t>页 共 </w:t>
                </w:r>
                <w:r>
                  <w:rPr>
                    <w:rFonts w:ascii="Arial" w:eastAsia="Arial"/>
                    <w:sz w:val="18"/>
                  </w:rPr>
                  <w:t>18 </w:t>
                </w:r>
                <w:r>
                  <w:rPr>
                    <w:sz w:val="18"/>
                  </w:rPr>
                  <w:t>页</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7320" from="76.559998pt,55.920006pt" to="765.579998pt,55.920006pt" stroked="true" strokeweight=".72pt" strokecolor="#000000">
          <v:stroke dashstyle="solid"/>
          <w10:wrap type="none"/>
        </v:line>
      </w:pict>
    </w:r>
    <w:r>
      <w:rPr/>
      <w:pict>
        <v:shape style="position:absolute;margin-left:78.320pt;margin-top:42.812546pt;width:75.7pt;height:12.1pt;mso-position-horizontal-relative:page;mso-position-vertical-relative:page;z-index:-47296" type="#_x0000_t202" filled="false" stroked="false">
          <v:textbox inset="0,0,0,0">
            <w:txbxContent>
              <w:p>
                <w:pPr>
                  <w:spacing w:before="14"/>
                  <w:ind w:left="20" w:right="0" w:firstLine="0"/>
                  <w:jc w:val="left"/>
                  <w:rPr>
                    <w:rFonts w:ascii="Arial"/>
                    <w:sz w:val="18"/>
                  </w:rPr>
                </w:pPr>
                <w:r>
                  <w:rPr>
                    <w:rFonts w:ascii="Arial"/>
                    <w:sz w:val="18"/>
                  </w:rPr>
                  <w:t>CNAS-RC04:2020</w:t>
                </w:r>
              </w:p>
            </w:txbxContent>
          </v:textbox>
          <w10:wrap type="none"/>
        </v:shape>
      </w:pict>
    </w:r>
    <w:r>
      <w:rPr/>
      <w:pict>
        <v:shape style="position:absolute;margin-left:678.659973pt;margin-top:42.812546pt;width:39pt;height:12.1pt;mso-position-horizontal-relative:page;mso-position-vertical-relative:page;z-index:-47272" type="#_x0000_t202" filled="false" stroked="false">
          <v:textbox inset="0,0,0,0">
            <w:txbxContent>
              <w:p>
                <w:pPr>
                  <w:spacing w:before="3"/>
                  <w:ind w:left="20" w:right="0" w:firstLine="0"/>
                  <w:jc w:val="left"/>
                  <w:rPr>
                    <w:rFonts w:ascii="黑体" w:eastAsia="黑体" w:hint="eastAsia"/>
                    <w:sz w:val="18"/>
                  </w:rPr>
                </w:pPr>
                <w:r>
                  <w:rPr>
                    <w:rFonts w:ascii="黑体" w:eastAsia="黑体" w:hint="eastAsia"/>
                    <w:sz w:val="18"/>
                  </w:rPr>
                  <w:t>第 </w:t>
                </w:r>
                <w:r>
                  <w:rPr/>
                  <w:fldChar w:fldCharType="begin"/>
                </w:r>
                <w:r>
                  <w:rPr>
                    <w:rFonts w:ascii="Arial" w:eastAsia="Arial"/>
                    <w:sz w:val="18"/>
                  </w:rPr>
                  <w:instrText> PAGE </w:instrText>
                </w:r>
                <w:r>
                  <w:rPr/>
                  <w:fldChar w:fldCharType="separate"/>
                </w:r>
                <w:r>
                  <w:rPr/>
                  <w:t>16</w:t>
                </w:r>
                <w:r>
                  <w:rPr/>
                  <w:fldChar w:fldCharType="end"/>
                </w:r>
                <w:r>
                  <w:rPr>
                    <w:rFonts w:ascii="Arial" w:eastAsia="Arial"/>
                    <w:sz w:val="18"/>
                  </w:rPr>
                  <w:t> </w:t>
                </w:r>
                <w:r>
                  <w:rPr>
                    <w:rFonts w:ascii="黑体" w:eastAsia="黑体" w:hint="eastAsia"/>
                    <w:sz w:val="18"/>
                  </w:rPr>
                  <w:t>页</w:t>
                </w:r>
              </w:p>
            </w:txbxContent>
          </v:textbox>
          <w10:wrap type="none"/>
        </v:shape>
      </w:pict>
    </w:r>
    <w:r>
      <w:rPr/>
      <w:pict>
        <v:shape style="position:absolute;margin-left:724.619995pt;margin-top:42.812546pt;width:39.1pt;height:12.1pt;mso-position-horizontal-relative:page;mso-position-vertical-relative:page;z-index:-47248" type="#_x0000_t202" filled="false" stroked="false">
          <v:textbox inset="0,0,0,0">
            <w:txbxContent>
              <w:p>
                <w:pPr>
                  <w:spacing w:before="3"/>
                  <w:ind w:left="20" w:right="0" w:firstLine="0"/>
                  <w:jc w:val="left"/>
                  <w:rPr>
                    <w:rFonts w:ascii="黑体" w:eastAsia="黑体" w:hint="eastAsia"/>
                    <w:sz w:val="18"/>
                  </w:rPr>
                </w:pPr>
                <w:r>
                  <w:rPr>
                    <w:rFonts w:ascii="黑体" w:eastAsia="黑体" w:hint="eastAsia"/>
                    <w:sz w:val="18"/>
                  </w:rPr>
                  <w:t>共 </w:t>
                </w:r>
                <w:r>
                  <w:rPr>
                    <w:rFonts w:ascii="Arial" w:eastAsia="Arial"/>
                    <w:sz w:val="18"/>
                  </w:rPr>
                  <w:t>18 </w:t>
                </w:r>
                <w:r>
                  <w:rPr>
                    <w:rFonts w:ascii="黑体" w:eastAsia="黑体" w:hint="eastAsia"/>
                    <w:sz w:val="18"/>
                  </w:rPr>
                  <w:t>页</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467" w:hanging="360"/>
      </w:pPr>
      <w:rPr>
        <w:rFonts w:hint="default" w:ascii="宋体" w:hAnsi="宋体" w:eastAsia="宋体" w:cs="宋体"/>
        <w:w w:val="100"/>
        <w:sz w:val="24"/>
        <w:szCs w:val="24"/>
        <w:lang w:val="zh-cn" w:eastAsia="zh-cn" w:bidi="zh-cn"/>
      </w:rPr>
    </w:lvl>
    <w:lvl w:ilvl="1">
      <w:start w:val="0"/>
      <w:numFmt w:val="bullet"/>
      <w:lvlText w:val="•"/>
      <w:lvlJc w:val="left"/>
      <w:pPr>
        <w:ind w:left="1714" w:hanging="360"/>
      </w:pPr>
      <w:rPr>
        <w:rFonts w:hint="default"/>
        <w:lang w:val="zh-cn" w:eastAsia="zh-cn" w:bidi="zh-cn"/>
      </w:rPr>
    </w:lvl>
    <w:lvl w:ilvl="2">
      <w:start w:val="0"/>
      <w:numFmt w:val="bullet"/>
      <w:lvlText w:val="•"/>
      <w:lvlJc w:val="left"/>
      <w:pPr>
        <w:ind w:left="2968" w:hanging="360"/>
      </w:pPr>
      <w:rPr>
        <w:rFonts w:hint="default"/>
        <w:lang w:val="zh-cn" w:eastAsia="zh-cn" w:bidi="zh-cn"/>
      </w:rPr>
    </w:lvl>
    <w:lvl w:ilvl="3">
      <w:start w:val="0"/>
      <w:numFmt w:val="bullet"/>
      <w:lvlText w:val="•"/>
      <w:lvlJc w:val="left"/>
      <w:pPr>
        <w:ind w:left="4222" w:hanging="360"/>
      </w:pPr>
      <w:rPr>
        <w:rFonts w:hint="default"/>
        <w:lang w:val="zh-cn" w:eastAsia="zh-cn" w:bidi="zh-cn"/>
      </w:rPr>
    </w:lvl>
    <w:lvl w:ilvl="4">
      <w:start w:val="0"/>
      <w:numFmt w:val="bullet"/>
      <w:lvlText w:val="•"/>
      <w:lvlJc w:val="left"/>
      <w:pPr>
        <w:ind w:left="5477" w:hanging="360"/>
      </w:pPr>
      <w:rPr>
        <w:rFonts w:hint="default"/>
        <w:lang w:val="zh-cn" w:eastAsia="zh-cn" w:bidi="zh-cn"/>
      </w:rPr>
    </w:lvl>
    <w:lvl w:ilvl="5">
      <w:start w:val="0"/>
      <w:numFmt w:val="bullet"/>
      <w:lvlText w:val="•"/>
      <w:lvlJc w:val="left"/>
      <w:pPr>
        <w:ind w:left="6731" w:hanging="360"/>
      </w:pPr>
      <w:rPr>
        <w:rFonts w:hint="default"/>
        <w:lang w:val="zh-cn" w:eastAsia="zh-cn" w:bidi="zh-cn"/>
      </w:rPr>
    </w:lvl>
    <w:lvl w:ilvl="6">
      <w:start w:val="0"/>
      <w:numFmt w:val="bullet"/>
      <w:lvlText w:val="•"/>
      <w:lvlJc w:val="left"/>
      <w:pPr>
        <w:ind w:left="7985" w:hanging="360"/>
      </w:pPr>
      <w:rPr>
        <w:rFonts w:hint="default"/>
        <w:lang w:val="zh-cn" w:eastAsia="zh-cn" w:bidi="zh-cn"/>
      </w:rPr>
    </w:lvl>
    <w:lvl w:ilvl="7">
      <w:start w:val="0"/>
      <w:numFmt w:val="bullet"/>
      <w:lvlText w:val="•"/>
      <w:lvlJc w:val="left"/>
      <w:pPr>
        <w:ind w:left="9240" w:hanging="360"/>
      </w:pPr>
      <w:rPr>
        <w:rFonts w:hint="default"/>
        <w:lang w:val="zh-cn" w:eastAsia="zh-cn" w:bidi="zh-cn"/>
      </w:rPr>
    </w:lvl>
    <w:lvl w:ilvl="8">
      <w:start w:val="0"/>
      <w:numFmt w:val="bullet"/>
      <w:lvlText w:val="•"/>
      <w:lvlJc w:val="left"/>
      <w:pPr>
        <w:ind w:left="10494" w:hanging="360"/>
      </w:pPr>
      <w:rPr>
        <w:rFonts w:hint="default"/>
        <w:lang w:val="zh-cn" w:eastAsia="zh-cn" w:bidi="zh-cn"/>
      </w:rPr>
    </w:lvl>
  </w:abstractNum>
  <w:abstractNum w:abstractNumId="22">
    <w:multiLevelType w:val="hybridMultilevel"/>
    <w:lvl w:ilvl="0">
      <w:start w:val="0"/>
      <w:numFmt w:val="bullet"/>
      <w:lvlText w:val="□"/>
      <w:lvlJc w:val="left"/>
      <w:pPr>
        <w:ind w:left="468" w:hanging="360"/>
      </w:pPr>
      <w:rPr>
        <w:rFonts w:hint="default" w:ascii="宋体" w:hAnsi="宋体" w:eastAsia="宋体" w:cs="宋体"/>
        <w:w w:val="100"/>
        <w:sz w:val="24"/>
        <w:szCs w:val="24"/>
        <w:lang w:val="zh-cn" w:eastAsia="zh-cn" w:bidi="zh-cn"/>
      </w:rPr>
    </w:lvl>
    <w:lvl w:ilvl="1">
      <w:start w:val="0"/>
      <w:numFmt w:val="bullet"/>
      <w:lvlText w:val="•"/>
      <w:lvlJc w:val="left"/>
      <w:pPr>
        <w:ind w:left="1726" w:hanging="360"/>
      </w:pPr>
      <w:rPr>
        <w:rFonts w:hint="default"/>
        <w:lang w:val="zh-cn" w:eastAsia="zh-cn" w:bidi="zh-cn"/>
      </w:rPr>
    </w:lvl>
    <w:lvl w:ilvl="2">
      <w:start w:val="0"/>
      <w:numFmt w:val="bullet"/>
      <w:lvlText w:val="•"/>
      <w:lvlJc w:val="left"/>
      <w:pPr>
        <w:ind w:left="2993" w:hanging="360"/>
      </w:pPr>
      <w:rPr>
        <w:rFonts w:hint="default"/>
        <w:lang w:val="zh-cn" w:eastAsia="zh-cn" w:bidi="zh-cn"/>
      </w:rPr>
    </w:lvl>
    <w:lvl w:ilvl="3">
      <w:start w:val="0"/>
      <w:numFmt w:val="bullet"/>
      <w:lvlText w:val="•"/>
      <w:lvlJc w:val="left"/>
      <w:pPr>
        <w:ind w:left="4260" w:hanging="360"/>
      </w:pPr>
      <w:rPr>
        <w:rFonts w:hint="default"/>
        <w:lang w:val="zh-cn" w:eastAsia="zh-cn" w:bidi="zh-cn"/>
      </w:rPr>
    </w:lvl>
    <w:lvl w:ilvl="4">
      <w:start w:val="0"/>
      <w:numFmt w:val="bullet"/>
      <w:lvlText w:val="•"/>
      <w:lvlJc w:val="left"/>
      <w:pPr>
        <w:ind w:left="5526" w:hanging="360"/>
      </w:pPr>
      <w:rPr>
        <w:rFonts w:hint="default"/>
        <w:lang w:val="zh-cn" w:eastAsia="zh-cn" w:bidi="zh-cn"/>
      </w:rPr>
    </w:lvl>
    <w:lvl w:ilvl="5">
      <w:start w:val="0"/>
      <w:numFmt w:val="bullet"/>
      <w:lvlText w:val="•"/>
      <w:lvlJc w:val="left"/>
      <w:pPr>
        <w:ind w:left="6793" w:hanging="360"/>
      </w:pPr>
      <w:rPr>
        <w:rFonts w:hint="default"/>
        <w:lang w:val="zh-cn" w:eastAsia="zh-cn" w:bidi="zh-cn"/>
      </w:rPr>
    </w:lvl>
    <w:lvl w:ilvl="6">
      <w:start w:val="0"/>
      <w:numFmt w:val="bullet"/>
      <w:lvlText w:val="•"/>
      <w:lvlJc w:val="left"/>
      <w:pPr>
        <w:ind w:left="8060" w:hanging="360"/>
      </w:pPr>
      <w:rPr>
        <w:rFonts w:hint="default"/>
        <w:lang w:val="zh-cn" w:eastAsia="zh-cn" w:bidi="zh-cn"/>
      </w:rPr>
    </w:lvl>
    <w:lvl w:ilvl="7">
      <w:start w:val="0"/>
      <w:numFmt w:val="bullet"/>
      <w:lvlText w:val="•"/>
      <w:lvlJc w:val="left"/>
      <w:pPr>
        <w:ind w:left="9326" w:hanging="360"/>
      </w:pPr>
      <w:rPr>
        <w:rFonts w:hint="default"/>
        <w:lang w:val="zh-cn" w:eastAsia="zh-cn" w:bidi="zh-cn"/>
      </w:rPr>
    </w:lvl>
    <w:lvl w:ilvl="8">
      <w:start w:val="0"/>
      <w:numFmt w:val="bullet"/>
      <w:lvlText w:val="•"/>
      <w:lvlJc w:val="left"/>
      <w:pPr>
        <w:ind w:left="10593" w:hanging="360"/>
      </w:pPr>
      <w:rPr>
        <w:rFonts w:hint="default"/>
        <w:lang w:val="zh-cn" w:eastAsia="zh-cn" w:bidi="zh-cn"/>
      </w:rPr>
    </w:lvl>
  </w:abstractNum>
  <w:abstractNum w:abstractNumId="21">
    <w:multiLevelType w:val="hybridMultilevel"/>
    <w:lvl w:ilvl="0">
      <w:start w:val="1"/>
      <w:numFmt w:val="decimal"/>
      <w:lvlText w:val="%1."/>
      <w:lvlJc w:val="left"/>
      <w:pPr>
        <w:ind w:left="552" w:hanging="253"/>
        <w:jc w:val="left"/>
      </w:pPr>
      <w:rPr>
        <w:rFonts w:hint="default" w:ascii="Arial" w:hAnsi="Arial" w:eastAsia="Arial" w:cs="Arial"/>
        <w:b/>
        <w:bCs/>
        <w:spacing w:val="-2"/>
        <w:w w:val="99"/>
        <w:sz w:val="28"/>
        <w:szCs w:val="28"/>
        <w:lang w:val="zh-cn" w:eastAsia="zh-cn" w:bidi="zh-cn"/>
      </w:rPr>
    </w:lvl>
    <w:lvl w:ilvl="1">
      <w:start w:val="0"/>
      <w:numFmt w:val="bullet"/>
      <w:lvlText w:val="•"/>
      <w:lvlJc w:val="left"/>
      <w:pPr>
        <w:ind w:left="1450" w:hanging="253"/>
      </w:pPr>
      <w:rPr>
        <w:rFonts w:hint="default"/>
        <w:lang w:val="zh-cn" w:eastAsia="zh-cn" w:bidi="zh-cn"/>
      </w:rPr>
    </w:lvl>
    <w:lvl w:ilvl="2">
      <w:start w:val="0"/>
      <w:numFmt w:val="bullet"/>
      <w:lvlText w:val="•"/>
      <w:lvlJc w:val="left"/>
      <w:pPr>
        <w:ind w:left="2341" w:hanging="253"/>
      </w:pPr>
      <w:rPr>
        <w:rFonts w:hint="default"/>
        <w:lang w:val="zh-cn" w:eastAsia="zh-cn" w:bidi="zh-cn"/>
      </w:rPr>
    </w:lvl>
    <w:lvl w:ilvl="3">
      <w:start w:val="0"/>
      <w:numFmt w:val="bullet"/>
      <w:lvlText w:val="•"/>
      <w:lvlJc w:val="left"/>
      <w:pPr>
        <w:ind w:left="3231" w:hanging="253"/>
      </w:pPr>
      <w:rPr>
        <w:rFonts w:hint="default"/>
        <w:lang w:val="zh-cn" w:eastAsia="zh-cn" w:bidi="zh-cn"/>
      </w:rPr>
    </w:lvl>
    <w:lvl w:ilvl="4">
      <w:start w:val="0"/>
      <w:numFmt w:val="bullet"/>
      <w:lvlText w:val="•"/>
      <w:lvlJc w:val="left"/>
      <w:pPr>
        <w:ind w:left="4122" w:hanging="253"/>
      </w:pPr>
      <w:rPr>
        <w:rFonts w:hint="default"/>
        <w:lang w:val="zh-cn" w:eastAsia="zh-cn" w:bidi="zh-cn"/>
      </w:rPr>
    </w:lvl>
    <w:lvl w:ilvl="5">
      <w:start w:val="0"/>
      <w:numFmt w:val="bullet"/>
      <w:lvlText w:val="•"/>
      <w:lvlJc w:val="left"/>
      <w:pPr>
        <w:ind w:left="5013" w:hanging="253"/>
      </w:pPr>
      <w:rPr>
        <w:rFonts w:hint="default"/>
        <w:lang w:val="zh-cn" w:eastAsia="zh-cn" w:bidi="zh-cn"/>
      </w:rPr>
    </w:lvl>
    <w:lvl w:ilvl="6">
      <w:start w:val="0"/>
      <w:numFmt w:val="bullet"/>
      <w:lvlText w:val="•"/>
      <w:lvlJc w:val="left"/>
      <w:pPr>
        <w:ind w:left="5903" w:hanging="253"/>
      </w:pPr>
      <w:rPr>
        <w:rFonts w:hint="default"/>
        <w:lang w:val="zh-cn" w:eastAsia="zh-cn" w:bidi="zh-cn"/>
      </w:rPr>
    </w:lvl>
    <w:lvl w:ilvl="7">
      <w:start w:val="0"/>
      <w:numFmt w:val="bullet"/>
      <w:lvlText w:val="•"/>
      <w:lvlJc w:val="left"/>
      <w:pPr>
        <w:ind w:left="6794" w:hanging="253"/>
      </w:pPr>
      <w:rPr>
        <w:rFonts w:hint="default"/>
        <w:lang w:val="zh-cn" w:eastAsia="zh-cn" w:bidi="zh-cn"/>
      </w:rPr>
    </w:lvl>
    <w:lvl w:ilvl="8">
      <w:start w:val="0"/>
      <w:numFmt w:val="bullet"/>
      <w:lvlText w:val="•"/>
      <w:lvlJc w:val="left"/>
      <w:pPr>
        <w:ind w:left="7685" w:hanging="253"/>
      </w:pPr>
      <w:rPr>
        <w:rFonts w:hint="default"/>
        <w:lang w:val="zh-cn" w:eastAsia="zh-cn" w:bidi="zh-cn"/>
      </w:rPr>
    </w:lvl>
  </w:abstractNum>
  <w:abstractNum w:abstractNumId="20">
    <w:multiLevelType w:val="hybridMultilevel"/>
    <w:lvl w:ilvl="0">
      <w:start w:val="2"/>
      <w:numFmt w:val="decimal"/>
      <w:lvlText w:val="%1"/>
      <w:lvlJc w:val="left"/>
      <w:pPr>
        <w:ind w:left="758" w:hanging="459"/>
        <w:jc w:val="left"/>
      </w:pPr>
      <w:rPr>
        <w:rFonts w:hint="default"/>
        <w:lang w:val="zh-cn" w:eastAsia="zh-cn" w:bidi="zh-cn"/>
      </w:rPr>
    </w:lvl>
    <w:lvl w:ilvl="1">
      <w:start w:val="2"/>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0"/>
      <w:numFmt w:val="bullet"/>
      <w:lvlText w:val="•"/>
      <w:lvlJc w:val="left"/>
      <w:pPr>
        <w:ind w:left="2881" w:hanging="694"/>
      </w:pPr>
      <w:rPr>
        <w:rFonts w:hint="default"/>
        <w:lang w:val="zh-cn" w:eastAsia="zh-cn" w:bidi="zh-cn"/>
      </w:rPr>
    </w:lvl>
    <w:lvl w:ilvl="4">
      <w:start w:val="0"/>
      <w:numFmt w:val="bullet"/>
      <w:lvlText w:val="•"/>
      <w:lvlJc w:val="left"/>
      <w:pPr>
        <w:ind w:left="3822" w:hanging="694"/>
      </w:pPr>
      <w:rPr>
        <w:rFonts w:hint="default"/>
        <w:lang w:val="zh-cn" w:eastAsia="zh-cn" w:bidi="zh-cn"/>
      </w:rPr>
    </w:lvl>
    <w:lvl w:ilvl="5">
      <w:start w:val="0"/>
      <w:numFmt w:val="bullet"/>
      <w:lvlText w:val="•"/>
      <w:lvlJc w:val="left"/>
      <w:pPr>
        <w:ind w:left="4762" w:hanging="694"/>
      </w:pPr>
      <w:rPr>
        <w:rFonts w:hint="default"/>
        <w:lang w:val="zh-cn" w:eastAsia="zh-cn" w:bidi="zh-cn"/>
      </w:rPr>
    </w:lvl>
    <w:lvl w:ilvl="6">
      <w:start w:val="0"/>
      <w:numFmt w:val="bullet"/>
      <w:lvlText w:val="•"/>
      <w:lvlJc w:val="left"/>
      <w:pPr>
        <w:ind w:left="5703" w:hanging="694"/>
      </w:pPr>
      <w:rPr>
        <w:rFonts w:hint="default"/>
        <w:lang w:val="zh-cn" w:eastAsia="zh-cn" w:bidi="zh-cn"/>
      </w:rPr>
    </w:lvl>
    <w:lvl w:ilvl="7">
      <w:start w:val="0"/>
      <w:numFmt w:val="bullet"/>
      <w:lvlText w:val="•"/>
      <w:lvlJc w:val="left"/>
      <w:pPr>
        <w:ind w:left="6644" w:hanging="694"/>
      </w:pPr>
      <w:rPr>
        <w:rFonts w:hint="default"/>
        <w:lang w:val="zh-cn" w:eastAsia="zh-cn" w:bidi="zh-cn"/>
      </w:rPr>
    </w:lvl>
    <w:lvl w:ilvl="8">
      <w:start w:val="0"/>
      <w:numFmt w:val="bullet"/>
      <w:lvlText w:val="•"/>
      <w:lvlJc w:val="left"/>
      <w:pPr>
        <w:ind w:left="7584" w:hanging="694"/>
      </w:pPr>
      <w:rPr>
        <w:rFonts w:hint="default"/>
        <w:lang w:val="zh-cn" w:eastAsia="zh-cn" w:bidi="zh-cn"/>
      </w:rPr>
    </w:lvl>
  </w:abstractNum>
  <w:abstractNum w:abstractNumId="19">
    <w:multiLevelType w:val="hybridMultilevel"/>
    <w:lvl w:ilvl="0">
      <w:start w:val="2"/>
      <w:numFmt w:val="decimal"/>
      <w:lvlText w:val="%1"/>
      <w:lvlJc w:val="left"/>
      <w:pPr>
        <w:ind w:left="792" w:hanging="492"/>
        <w:jc w:val="left"/>
      </w:pPr>
      <w:rPr>
        <w:rFonts w:hint="default"/>
        <w:lang w:val="zh-cn" w:eastAsia="zh-cn" w:bidi="zh-cn"/>
      </w:rPr>
    </w:lvl>
    <w:lvl w:ilvl="1">
      <w:start w:val="1"/>
      <w:numFmt w:val="decimal"/>
      <w:lvlText w:val="%1.%2"/>
      <w:lvlJc w:val="left"/>
      <w:pPr>
        <w:ind w:left="792" w:hanging="492"/>
        <w:jc w:val="left"/>
      </w:pPr>
      <w:rPr>
        <w:rFonts w:hint="default" w:ascii="Arial" w:hAnsi="Arial" w:eastAsia="Arial" w:cs="Arial"/>
        <w:b/>
        <w:bCs/>
        <w:w w:val="99"/>
        <w:sz w:val="30"/>
        <w:szCs w:val="30"/>
        <w:lang w:val="zh-cn" w:eastAsia="zh-cn" w:bidi="zh-cn"/>
      </w:rPr>
    </w:lvl>
    <w:lvl w:ilvl="2">
      <w:start w:val="1"/>
      <w:numFmt w:val="decimal"/>
      <w:lvlText w:val="%1.%2.%3"/>
      <w:lvlJc w:val="left"/>
      <w:pPr>
        <w:ind w:left="300" w:hanging="596"/>
        <w:jc w:val="left"/>
      </w:pPr>
      <w:rPr>
        <w:rFonts w:hint="default" w:ascii="Arial" w:hAnsi="Arial" w:eastAsia="Arial" w:cs="Arial"/>
        <w:spacing w:val="-2"/>
        <w:w w:val="99"/>
        <w:sz w:val="24"/>
        <w:szCs w:val="24"/>
        <w:lang w:val="zh-cn" w:eastAsia="zh-cn" w:bidi="zh-cn"/>
      </w:rPr>
    </w:lvl>
    <w:lvl w:ilvl="3">
      <w:start w:val="1"/>
      <w:numFmt w:val="decimal"/>
      <w:lvlText w:val="%1.%2.%3.%4"/>
      <w:lvlJc w:val="left"/>
      <w:pPr>
        <w:ind w:left="1435" w:hanging="1136"/>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446" w:hanging="1136"/>
      </w:pPr>
      <w:rPr>
        <w:rFonts w:hint="default"/>
        <w:lang w:val="zh-cn" w:eastAsia="zh-cn" w:bidi="zh-cn"/>
      </w:rPr>
    </w:lvl>
    <w:lvl w:ilvl="5">
      <w:start w:val="0"/>
      <w:numFmt w:val="bullet"/>
      <w:lvlText w:val="•"/>
      <w:lvlJc w:val="left"/>
      <w:pPr>
        <w:ind w:left="4449" w:hanging="1136"/>
      </w:pPr>
      <w:rPr>
        <w:rFonts w:hint="default"/>
        <w:lang w:val="zh-cn" w:eastAsia="zh-cn" w:bidi="zh-cn"/>
      </w:rPr>
    </w:lvl>
    <w:lvl w:ilvl="6">
      <w:start w:val="0"/>
      <w:numFmt w:val="bullet"/>
      <w:lvlText w:val="•"/>
      <w:lvlJc w:val="left"/>
      <w:pPr>
        <w:ind w:left="5453" w:hanging="1136"/>
      </w:pPr>
      <w:rPr>
        <w:rFonts w:hint="default"/>
        <w:lang w:val="zh-cn" w:eastAsia="zh-cn" w:bidi="zh-cn"/>
      </w:rPr>
    </w:lvl>
    <w:lvl w:ilvl="7">
      <w:start w:val="0"/>
      <w:numFmt w:val="bullet"/>
      <w:lvlText w:val="•"/>
      <w:lvlJc w:val="left"/>
      <w:pPr>
        <w:ind w:left="6456" w:hanging="1136"/>
      </w:pPr>
      <w:rPr>
        <w:rFonts w:hint="default"/>
        <w:lang w:val="zh-cn" w:eastAsia="zh-cn" w:bidi="zh-cn"/>
      </w:rPr>
    </w:lvl>
    <w:lvl w:ilvl="8">
      <w:start w:val="0"/>
      <w:numFmt w:val="bullet"/>
      <w:lvlText w:val="•"/>
      <w:lvlJc w:val="left"/>
      <w:pPr>
        <w:ind w:left="7459" w:hanging="1136"/>
      </w:pPr>
      <w:rPr>
        <w:rFonts w:hint="default"/>
        <w:lang w:val="zh-cn" w:eastAsia="zh-cn" w:bidi="zh-cn"/>
      </w:rPr>
    </w:lvl>
  </w:abstractNum>
  <w:abstractNum w:abstractNumId="18">
    <w:multiLevelType w:val="hybridMultilevel"/>
    <w:lvl w:ilvl="0">
      <w:start w:val="1"/>
      <w:numFmt w:val="decimal"/>
      <w:lvlText w:val="%1"/>
      <w:lvlJc w:val="left"/>
      <w:pPr>
        <w:ind w:left="758" w:hanging="459"/>
        <w:jc w:val="left"/>
      </w:pPr>
      <w:rPr>
        <w:rFonts w:hint="default"/>
        <w:lang w:val="zh-cn" w:eastAsia="zh-cn" w:bidi="zh-cn"/>
      </w:rPr>
    </w:lvl>
    <w:lvl w:ilvl="1">
      <w:start w:val="2"/>
      <w:numFmt w:val="decimal"/>
      <w:lvlText w:val="%1.%2"/>
      <w:lvlJc w:val="left"/>
      <w:pPr>
        <w:ind w:left="758" w:hanging="459"/>
        <w:jc w:val="left"/>
      </w:pPr>
      <w:rPr>
        <w:rFonts w:hint="default"/>
        <w:b/>
        <w:bCs/>
        <w:w w:val="100"/>
        <w:lang w:val="zh-cn" w:eastAsia="zh-cn" w:bidi="zh-cn"/>
      </w:rPr>
    </w:lvl>
    <w:lvl w:ilvl="2">
      <w:start w:val="1"/>
      <w:numFmt w:val="decimal"/>
      <w:lvlText w:val="%1.%2.%3"/>
      <w:lvlJc w:val="left"/>
      <w:pPr>
        <w:ind w:left="955" w:hanging="656"/>
        <w:jc w:val="left"/>
      </w:pPr>
      <w:rPr>
        <w:rFonts w:hint="default" w:ascii="Arial" w:hAnsi="Arial" w:eastAsia="Arial" w:cs="Arial"/>
        <w:spacing w:val="-2"/>
        <w:w w:val="99"/>
        <w:sz w:val="24"/>
        <w:szCs w:val="24"/>
        <w:lang w:val="zh-cn" w:eastAsia="zh-cn" w:bidi="zh-cn"/>
      </w:rPr>
    </w:lvl>
    <w:lvl w:ilvl="3">
      <w:start w:val="0"/>
      <w:numFmt w:val="bullet"/>
      <w:lvlText w:val="•"/>
      <w:lvlJc w:val="left"/>
      <w:pPr>
        <w:ind w:left="2850" w:hanging="656"/>
      </w:pPr>
      <w:rPr>
        <w:rFonts w:hint="default"/>
        <w:lang w:val="zh-cn" w:eastAsia="zh-cn" w:bidi="zh-cn"/>
      </w:rPr>
    </w:lvl>
    <w:lvl w:ilvl="4">
      <w:start w:val="0"/>
      <w:numFmt w:val="bullet"/>
      <w:lvlText w:val="•"/>
      <w:lvlJc w:val="left"/>
      <w:pPr>
        <w:ind w:left="3795" w:hanging="656"/>
      </w:pPr>
      <w:rPr>
        <w:rFonts w:hint="default"/>
        <w:lang w:val="zh-cn" w:eastAsia="zh-cn" w:bidi="zh-cn"/>
      </w:rPr>
    </w:lvl>
    <w:lvl w:ilvl="5">
      <w:start w:val="0"/>
      <w:numFmt w:val="bullet"/>
      <w:lvlText w:val="•"/>
      <w:lvlJc w:val="left"/>
      <w:pPr>
        <w:ind w:left="4740" w:hanging="656"/>
      </w:pPr>
      <w:rPr>
        <w:rFonts w:hint="default"/>
        <w:lang w:val="zh-cn" w:eastAsia="zh-cn" w:bidi="zh-cn"/>
      </w:rPr>
    </w:lvl>
    <w:lvl w:ilvl="6">
      <w:start w:val="0"/>
      <w:numFmt w:val="bullet"/>
      <w:lvlText w:val="•"/>
      <w:lvlJc w:val="left"/>
      <w:pPr>
        <w:ind w:left="5685" w:hanging="656"/>
      </w:pPr>
      <w:rPr>
        <w:rFonts w:hint="default"/>
        <w:lang w:val="zh-cn" w:eastAsia="zh-cn" w:bidi="zh-cn"/>
      </w:rPr>
    </w:lvl>
    <w:lvl w:ilvl="7">
      <w:start w:val="0"/>
      <w:numFmt w:val="bullet"/>
      <w:lvlText w:val="•"/>
      <w:lvlJc w:val="left"/>
      <w:pPr>
        <w:ind w:left="6630" w:hanging="656"/>
      </w:pPr>
      <w:rPr>
        <w:rFonts w:hint="default"/>
        <w:lang w:val="zh-cn" w:eastAsia="zh-cn" w:bidi="zh-cn"/>
      </w:rPr>
    </w:lvl>
    <w:lvl w:ilvl="8">
      <w:start w:val="0"/>
      <w:numFmt w:val="bullet"/>
      <w:lvlText w:val="•"/>
      <w:lvlJc w:val="left"/>
      <w:pPr>
        <w:ind w:left="7576" w:hanging="656"/>
      </w:pPr>
      <w:rPr>
        <w:rFonts w:hint="default"/>
        <w:lang w:val="zh-cn" w:eastAsia="zh-cn" w:bidi="zh-cn"/>
      </w:rPr>
    </w:lvl>
  </w:abstractNum>
  <w:abstractNum w:abstractNumId="17">
    <w:multiLevelType w:val="hybridMultilevel"/>
    <w:lvl w:ilvl="0">
      <w:start w:val="1"/>
      <w:numFmt w:val="decimal"/>
      <w:lvlText w:val="%1"/>
      <w:lvlJc w:val="left"/>
      <w:pPr>
        <w:ind w:left="768" w:hanging="468"/>
        <w:jc w:val="left"/>
      </w:pPr>
      <w:rPr>
        <w:rFonts w:hint="default" w:ascii="Arial" w:hAnsi="Arial" w:eastAsia="Arial" w:cs="Arial"/>
        <w:b/>
        <w:bCs/>
        <w:w w:val="99"/>
        <w:sz w:val="30"/>
        <w:szCs w:val="30"/>
        <w:lang w:val="zh-cn" w:eastAsia="zh-cn" w:bidi="zh-cn"/>
      </w:rPr>
    </w:lvl>
    <w:lvl w:ilvl="1">
      <w:start w:val="1"/>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1"/>
      <w:numFmt w:val="decimal"/>
      <w:lvlText w:val="%1.%2.%3.%4"/>
      <w:lvlJc w:val="left"/>
      <w:pPr>
        <w:ind w:left="1226" w:hanging="927"/>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281" w:hanging="927"/>
      </w:pPr>
      <w:rPr>
        <w:rFonts w:hint="default"/>
        <w:lang w:val="zh-cn" w:eastAsia="zh-cn" w:bidi="zh-cn"/>
      </w:rPr>
    </w:lvl>
    <w:lvl w:ilvl="5">
      <w:start w:val="0"/>
      <w:numFmt w:val="bullet"/>
      <w:lvlText w:val="•"/>
      <w:lvlJc w:val="left"/>
      <w:pPr>
        <w:ind w:left="4312" w:hanging="927"/>
      </w:pPr>
      <w:rPr>
        <w:rFonts w:hint="default"/>
        <w:lang w:val="zh-cn" w:eastAsia="zh-cn" w:bidi="zh-cn"/>
      </w:rPr>
    </w:lvl>
    <w:lvl w:ilvl="6">
      <w:start w:val="0"/>
      <w:numFmt w:val="bullet"/>
      <w:lvlText w:val="•"/>
      <w:lvlJc w:val="left"/>
      <w:pPr>
        <w:ind w:left="5343" w:hanging="927"/>
      </w:pPr>
      <w:rPr>
        <w:rFonts w:hint="default"/>
        <w:lang w:val="zh-cn" w:eastAsia="zh-cn" w:bidi="zh-cn"/>
      </w:rPr>
    </w:lvl>
    <w:lvl w:ilvl="7">
      <w:start w:val="0"/>
      <w:numFmt w:val="bullet"/>
      <w:lvlText w:val="•"/>
      <w:lvlJc w:val="left"/>
      <w:pPr>
        <w:ind w:left="6374" w:hanging="927"/>
      </w:pPr>
      <w:rPr>
        <w:rFonts w:hint="default"/>
        <w:lang w:val="zh-cn" w:eastAsia="zh-cn" w:bidi="zh-cn"/>
      </w:rPr>
    </w:lvl>
    <w:lvl w:ilvl="8">
      <w:start w:val="0"/>
      <w:numFmt w:val="bullet"/>
      <w:lvlText w:val="•"/>
      <w:lvlJc w:val="left"/>
      <w:pPr>
        <w:ind w:left="7404" w:hanging="927"/>
      </w:pPr>
      <w:rPr>
        <w:rFonts w:hint="default"/>
        <w:lang w:val="zh-cn" w:eastAsia="zh-cn" w:bidi="zh-cn"/>
      </w:rPr>
    </w:lvl>
  </w:abstractNum>
  <w:abstractNum w:abstractNumId="16">
    <w:multiLevelType w:val="hybridMultilevel"/>
    <w:lvl w:ilvl="0">
      <w:start w:val="2"/>
      <w:numFmt w:val="decimal"/>
      <w:lvlText w:val="%1"/>
      <w:lvlJc w:val="left"/>
      <w:pPr>
        <w:ind w:left="758" w:hanging="459"/>
        <w:jc w:val="left"/>
      </w:pPr>
      <w:rPr>
        <w:rFonts w:hint="default"/>
        <w:lang w:val="zh-cn" w:eastAsia="zh-cn" w:bidi="zh-cn"/>
      </w:rPr>
    </w:lvl>
    <w:lvl w:ilvl="1">
      <w:start w:val="2"/>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94" w:hanging="694"/>
        <w:jc w:val="left"/>
      </w:pPr>
      <w:rPr>
        <w:rFonts w:hint="default"/>
        <w:b/>
        <w:bCs/>
        <w:w w:val="100"/>
        <w:lang w:val="zh-cn" w:eastAsia="zh-cn" w:bidi="zh-cn"/>
      </w:rPr>
    </w:lvl>
    <w:lvl w:ilvl="3">
      <w:start w:val="1"/>
      <w:numFmt w:val="decimal"/>
      <w:lvlText w:val="%1.%2.%3.%4"/>
      <w:lvlJc w:val="left"/>
      <w:pPr>
        <w:ind w:left="1226" w:hanging="927"/>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281" w:hanging="927"/>
      </w:pPr>
      <w:rPr>
        <w:rFonts w:hint="default"/>
        <w:lang w:val="zh-cn" w:eastAsia="zh-cn" w:bidi="zh-cn"/>
      </w:rPr>
    </w:lvl>
    <w:lvl w:ilvl="5">
      <w:start w:val="0"/>
      <w:numFmt w:val="bullet"/>
      <w:lvlText w:val="•"/>
      <w:lvlJc w:val="left"/>
      <w:pPr>
        <w:ind w:left="4312" w:hanging="927"/>
      </w:pPr>
      <w:rPr>
        <w:rFonts w:hint="default"/>
        <w:lang w:val="zh-cn" w:eastAsia="zh-cn" w:bidi="zh-cn"/>
      </w:rPr>
    </w:lvl>
    <w:lvl w:ilvl="6">
      <w:start w:val="0"/>
      <w:numFmt w:val="bullet"/>
      <w:lvlText w:val="•"/>
      <w:lvlJc w:val="left"/>
      <w:pPr>
        <w:ind w:left="5343" w:hanging="927"/>
      </w:pPr>
      <w:rPr>
        <w:rFonts w:hint="default"/>
        <w:lang w:val="zh-cn" w:eastAsia="zh-cn" w:bidi="zh-cn"/>
      </w:rPr>
    </w:lvl>
    <w:lvl w:ilvl="7">
      <w:start w:val="0"/>
      <w:numFmt w:val="bullet"/>
      <w:lvlText w:val="•"/>
      <w:lvlJc w:val="left"/>
      <w:pPr>
        <w:ind w:left="6374" w:hanging="927"/>
      </w:pPr>
      <w:rPr>
        <w:rFonts w:hint="default"/>
        <w:lang w:val="zh-cn" w:eastAsia="zh-cn" w:bidi="zh-cn"/>
      </w:rPr>
    </w:lvl>
    <w:lvl w:ilvl="8">
      <w:start w:val="0"/>
      <w:numFmt w:val="bullet"/>
      <w:lvlText w:val="•"/>
      <w:lvlJc w:val="left"/>
      <w:pPr>
        <w:ind w:left="7404" w:hanging="927"/>
      </w:pPr>
      <w:rPr>
        <w:rFonts w:hint="default"/>
        <w:lang w:val="zh-cn" w:eastAsia="zh-cn" w:bidi="zh-cn"/>
      </w:rPr>
    </w:lvl>
  </w:abstractNum>
  <w:abstractNum w:abstractNumId="15">
    <w:multiLevelType w:val="hybridMultilevel"/>
    <w:lvl w:ilvl="0">
      <w:start w:val="1"/>
      <w:numFmt w:val="decimal"/>
      <w:lvlText w:val="%1."/>
      <w:lvlJc w:val="left"/>
      <w:pPr>
        <w:ind w:left="1150" w:hanging="370"/>
        <w:jc w:val="left"/>
      </w:pPr>
      <w:rPr>
        <w:rFonts w:hint="default" w:ascii="Arial" w:hAnsi="Arial" w:eastAsia="Arial" w:cs="Arial"/>
        <w:spacing w:val="-32"/>
        <w:w w:val="100"/>
        <w:sz w:val="24"/>
        <w:szCs w:val="24"/>
        <w:lang w:val="zh-cn" w:eastAsia="zh-cn" w:bidi="zh-cn"/>
      </w:rPr>
    </w:lvl>
    <w:lvl w:ilvl="1">
      <w:start w:val="0"/>
      <w:numFmt w:val="bullet"/>
      <w:lvlText w:val="•"/>
      <w:lvlJc w:val="left"/>
      <w:pPr>
        <w:ind w:left="1990" w:hanging="370"/>
      </w:pPr>
      <w:rPr>
        <w:rFonts w:hint="default"/>
        <w:lang w:val="zh-cn" w:eastAsia="zh-cn" w:bidi="zh-cn"/>
      </w:rPr>
    </w:lvl>
    <w:lvl w:ilvl="2">
      <w:start w:val="0"/>
      <w:numFmt w:val="bullet"/>
      <w:lvlText w:val="•"/>
      <w:lvlJc w:val="left"/>
      <w:pPr>
        <w:ind w:left="2821" w:hanging="370"/>
      </w:pPr>
      <w:rPr>
        <w:rFonts w:hint="default"/>
        <w:lang w:val="zh-cn" w:eastAsia="zh-cn" w:bidi="zh-cn"/>
      </w:rPr>
    </w:lvl>
    <w:lvl w:ilvl="3">
      <w:start w:val="0"/>
      <w:numFmt w:val="bullet"/>
      <w:lvlText w:val="•"/>
      <w:lvlJc w:val="left"/>
      <w:pPr>
        <w:ind w:left="3651" w:hanging="370"/>
      </w:pPr>
      <w:rPr>
        <w:rFonts w:hint="default"/>
        <w:lang w:val="zh-cn" w:eastAsia="zh-cn" w:bidi="zh-cn"/>
      </w:rPr>
    </w:lvl>
    <w:lvl w:ilvl="4">
      <w:start w:val="0"/>
      <w:numFmt w:val="bullet"/>
      <w:lvlText w:val="•"/>
      <w:lvlJc w:val="left"/>
      <w:pPr>
        <w:ind w:left="4482" w:hanging="370"/>
      </w:pPr>
      <w:rPr>
        <w:rFonts w:hint="default"/>
        <w:lang w:val="zh-cn" w:eastAsia="zh-cn" w:bidi="zh-cn"/>
      </w:rPr>
    </w:lvl>
    <w:lvl w:ilvl="5">
      <w:start w:val="0"/>
      <w:numFmt w:val="bullet"/>
      <w:lvlText w:val="•"/>
      <w:lvlJc w:val="left"/>
      <w:pPr>
        <w:ind w:left="5313" w:hanging="370"/>
      </w:pPr>
      <w:rPr>
        <w:rFonts w:hint="default"/>
        <w:lang w:val="zh-cn" w:eastAsia="zh-cn" w:bidi="zh-cn"/>
      </w:rPr>
    </w:lvl>
    <w:lvl w:ilvl="6">
      <w:start w:val="0"/>
      <w:numFmt w:val="bullet"/>
      <w:lvlText w:val="•"/>
      <w:lvlJc w:val="left"/>
      <w:pPr>
        <w:ind w:left="6143" w:hanging="370"/>
      </w:pPr>
      <w:rPr>
        <w:rFonts w:hint="default"/>
        <w:lang w:val="zh-cn" w:eastAsia="zh-cn" w:bidi="zh-cn"/>
      </w:rPr>
    </w:lvl>
    <w:lvl w:ilvl="7">
      <w:start w:val="0"/>
      <w:numFmt w:val="bullet"/>
      <w:lvlText w:val="•"/>
      <w:lvlJc w:val="left"/>
      <w:pPr>
        <w:ind w:left="6974" w:hanging="370"/>
      </w:pPr>
      <w:rPr>
        <w:rFonts w:hint="default"/>
        <w:lang w:val="zh-cn" w:eastAsia="zh-cn" w:bidi="zh-cn"/>
      </w:rPr>
    </w:lvl>
    <w:lvl w:ilvl="8">
      <w:start w:val="0"/>
      <w:numFmt w:val="bullet"/>
      <w:lvlText w:val="•"/>
      <w:lvlJc w:val="left"/>
      <w:pPr>
        <w:ind w:left="7805" w:hanging="370"/>
      </w:pPr>
      <w:rPr>
        <w:rFonts w:hint="default"/>
        <w:lang w:val="zh-cn" w:eastAsia="zh-cn" w:bidi="zh-cn"/>
      </w:rPr>
    </w:lvl>
  </w:abstractNum>
  <w:abstractNum w:abstractNumId="14">
    <w:multiLevelType w:val="hybridMultilevel"/>
    <w:lvl w:ilvl="0">
      <w:start w:val="2"/>
      <w:numFmt w:val="decimal"/>
      <w:lvlText w:val="%1"/>
      <w:lvlJc w:val="left"/>
      <w:pPr>
        <w:ind w:left="792" w:hanging="492"/>
        <w:jc w:val="left"/>
      </w:pPr>
      <w:rPr>
        <w:rFonts w:hint="default"/>
        <w:lang w:val="zh-cn" w:eastAsia="zh-cn" w:bidi="zh-cn"/>
      </w:rPr>
    </w:lvl>
    <w:lvl w:ilvl="1">
      <w:start w:val="1"/>
      <w:numFmt w:val="decimal"/>
      <w:lvlText w:val="%1.%2"/>
      <w:lvlJc w:val="left"/>
      <w:pPr>
        <w:ind w:left="792" w:hanging="492"/>
        <w:jc w:val="left"/>
      </w:pPr>
      <w:rPr>
        <w:rFonts w:hint="default" w:ascii="Arial" w:hAnsi="Arial" w:eastAsia="Arial" w:cs="Arial"/>
        <w:b/>
        <w:bCs/>
        <w:w w:val="99"/>
        <w:sz w:val="30"/>
        <w:szCs w:val="30"/>
        <w:lang w:val="zh-cn" w:eastAsia="zh-cn" w:bidi="zh-cn"/>
      </w:rPr>
    </w:lvl>
    <w:lvl w:ilvl="2">
      <w:start w:val="1"/>
      <w:numFmt w:val="decimal"/>
      <w:lvlText w:val="%1.%2.%3"/>
      <w:lvlJc w:val="left"/>
      <w:pPr>
        <w:ind w:left="1042" w:hanging="742"/>
        <w:jc w:val="left"/>
      </w:pPr>
      <w:rPr>
        <w:rFonts w:hint="default" w:ascii="Arial" w:hAnsi="Arial" w:eastAsia="Arial" w:cs="Arial"/>
        <w:b/>
        <w:bCs/>
        <w:spacing w:val="-2"/>
        <w:w w:val="99"/>
        <w:sz w:val="30"/>
        <w:szCs w:val="30"/>
        <w:lang w:val="zh-cn" w:eastAsia="zh-cn" w:bidi="zh-cn"/>
      </w:rPr>
    </w:lvl>
    <w:lvl w:ilvl="3">
      <w:start w:val="1"/>
      <w:numFmt w:val="decimal"/>
      <w:lvlText w:val="%1.%2.%3.%4"/>
      <w:lvlJc w:val="left"/>
      <w:pPr>
        <w:ind w:left="300" w:hanging="857"/>
        <w:jc w:val="left"/>
      </w:pPr>
      <w:rPr>
        <w:rFonts w:hint="default" w:ascii="Arial" w:hAnsi="Arial" w:eastAsia="Arial" w:cs="Arial"/>
        <w:spacing w:val="-60"/>
        <w:w w:val="99"/>
        <w:sz w:val="24"/>
        <w:szCs w:val="24"/>
        <w:lang w:val="zh-cn" w:eastAsia="zh-cn" w:bidi="zh-cn"/>
      </w:rPr>
    </w:lvl>
    <w:lvl w:ilvl="4">
      <w:start w:val="0"/>
      <w:numFmt w:val="bullet"/>
      <w:lvlText w:val="•"/>
      <w:lvlJc w:val="left"/>
      <w:pPr>
        <w:ind w:left="3146" w:hanging="857"/>
      </w:pPr>
      <w:rPr>
        <w:rFonts w:hint="default"/>
        <w:lang w:val="zh-cn" w:eastAsia="zh-cn" w:bidi="zh-cn"/>
      </w:rPr>
    </w:lvl>
    <w:lvl w:ilvl="5">
      <w:start w:val="0"/>
      <w:numFmt w:val="bullet"/>
      <w:lvlText w:val="•"/>
      <w:lvlJc w:val="left"/>
      <w:pPr>
        <w:ind w:left="4199" w:hanging="857"/>
      </w:pPr>
      <w:rPr>
        <w:rFonts w:hint="default"/>
        <w:lang w:val="zh-cn" w:eastAsia="zh-cn" w:bidi="zh-cn"/>
      </w:rPr>
    </w:lvl>
    <w:lvl w:ilvl="6">
      <w:start w:val="0"/>
      <w:numFmt w:val="bullet"/>
      <w:lvlText w:val="•"/>
      <w:lvlJc w:val="left"/>
      <w:pPr>
        <w:ind w:left="5253" w:hanging="857"/>
      </w:pPr>
      <w:rPr>
        <w:rFonts w:hint="default"/>
        <w:lang w:val="zh-cn" w:eastAsia="zh-cn" w:bidi="zh-cn"/>
      </w:rPr>
    </w:lvl>
    <w:lvl w:ilvl="7">
      <w:start w:val="0"/>
      <w:numFmt w:val="bullet"/>
      <w:lvlText w:val="•"/>
      <w:lvlJc w:val="left"/>
      <w:pPr>
        <w:ind w:left="6306" w:hanging="857"/>
      </w:pPr>
      <w:rPr>
        <w:rFonts w:hint="default"/>
        <w:lang w:val="zh-cn" w:eastAsia="zh-cn" w:bidi="zh-cn"/>
      </w:rPr>
    </w:lvl>
    <w:lvl w:ilvl="8">
      <w:start w:val="0"/>
      <w:numFmt w:val="bullet"/>
      <w:lvlText w:val="•"/>
      <w:lvlJc w:val="left"/>
      <w:pPr>
        <w:ind w:left="7359" w:hanging="857"/>
      </w:pPr>
      <w:rPr>
        <w:rFonts w:hint="default"/>
        <w:lang w:val="zh-cn" w:eastAsia="zh-cn" w:bidi="zh-cn"/>
      </w:rPr>
    </w:lvl>
  </w:abstractNum>
  <w:abstractNum w:abstractNumId="13">
    <w:multiLevelType w:val="hybridMultilevel"/>
    <w:lvl w:ilvl="0">
      <w:start w:val="1"/>
      <w:numFmt w:val="decimal"/>
      <w:lvlText w:val="%1"/>
      <w:lvlJc w:val="left"/>
      <w:pPr>
        <w:ind w:left="758" w:hanging="459"/>
        <w:jc w:val="left"/>
      </w:pPr>
      <w:rPr>
        <w:rFonts w:hint="default"/>
        <w:lang w:val="zh-cn" w:eastAsia="zh-cn" w:bidi="zh-cn"/>
      </w:rPr>
    </w:lvl>
    <w:lvl w:ilvl="1">
      <w:start w:val="4"/>
      <w:numFmt w:val="decimal"/>
      <w:lvlText w:val="%1.%2"/>
      <w:lvlJc w:val="left"/>
      <w:pPr>
        <w:ind w:left="758" w:hanging="459"/>
        <w:jc w:val="left"/>
      </w:pPr>
      <w:rPr>
        <w:rFonts w:hint="default"/>
        <w:b/>
        <w:bCs/>
        <w:w w:val="100"/>
        <w:lang w:val="zh-cn" w:eastAsia="zh-cn" w:bidi="zh-cn"/>
      </w:rPr>
    </w:lvl>
    <w:lvl w:ilvl="2">
      <w:start w:val="1"/>
      <w:numFmt w:val="decimal"/>
      <w:lvlText w:val="%1.%2.%3"/>
      <w:lvlJc w:val="left"/>
      <w:pPr>
        <w:ind w:left="300" w:hanging="632"/>
        <w:jc w:val="left"/>
      </w:pPr>
      <w:rPr>
        <w:rFonts w:hint="default" w:ascii="Arial" w:hAnsi="Arial" w:eastAsia="Arial" w:cs="Arial"/>
        <w:spacing w:val="-2"/>
        <w:w w:val="99"/>
        <w:sz w:val="24"/>
        <w:szCs w:val="24"/>
        <w:lang w:val="zh-cn" w:eastAsia="zh-cn" w:bidi="zh-cn"/>
      </w:rPr>
    </w:lvl>
    <w:lvl w:ilvl="3">
      <w:start w:val="0"/>
      <w:numFmt w:val="bullet"/>
      <w:lvlText w:val="•"/>
      <w:lvlJc w:val="left"/>
      <w:pPr>
        <w:ind w:left="2694" w:hanging="632"/>
      </w:pPr>
      <w:rPr>
        <w:rFonts w:hint="default"/>
        <w:lang w:val="zh-cn" w:eastAsia="zh-cn" w:bidi="zh-cn"/>
      </w:rPr>
    </w:lvl>
    <w:lvl w:ilvl="4">
      <w:start w:val="0"/>
      <w:numFmt w:val="bullet"/>
      <w:lvlText w:val="•"/>
      <w:lvlJc w:val="left"/>
      <w:pPr>
        <w:ind w:left="3662" w:hanging="632"/>
      </w:pPr>
      <w:rPr>
        <w:rFonts w:hint="default"/>
        <w:lang w:val="zh-cn" w:eastAsia="zh-cn" w:bidi="zh-cn"/>
      </w:rPr>
    </w:lvl>
    <w:lvl w:ilvl="5">
      <w:start w:val="0"/>
      <w:numFmt w:val="bullet"/>
      <w:lvlText w:val="•"/>
      <w:lvlJc w:val="left"/>
      <w:pPr>
        <w:ind w:left="4629" w:hanging="632"/>
      </w:pPr>
      <w:rPr>
        <w:rFonts w:hint="default"/>
        <w:lang w:val="zh-cn" w:eastAsia="zh-cn" w:bidi="zh-cn"/>
      </w:rPr>
    </w:lvl>
    <w:lvl w:ilvl="6">
      <w:start w:val="0"/>
      <w:numFmt w:val="bullet"/>
      <w:lvlText w:val="•"/>
      <w:lvlJc w:val="left"/>
      <w:pPr>
        <w:ind w:left="5596" w:hanging="632"/>
      </w:pPr>
      <w:rPr>
        <w:rFonts w:hint="default"/>
        <w:lang w:val="zh-cn" w:eastAsia="zh-cn" w:bidi="zh-cn"/>
      </w:rPr>
    </w:lvl>
    <w:lvl w:ilvl="7">
      <w:start w:val="0"/>
      <w:numFmt w:val="bullet"/>
      <w:lvlText w:val="•"/>
      <w:lvlJc w:val="left"/>
      <w:pPr>
        <w:ind w:left="6564" w:hanging="632"/>
      </w:pPr>
      <w:rPr>
        <w:rFonts w:hint="default"/>
        <w:lang w:val="zh-cn" w:eastAsia="zh-cn" w:bidi="zh-cn"/>
      </w:rPr>
    </w:lvl>
    <w:lvl w:ilvl="8">
      <w:start w:val="0"/>
      <w:numFmt w:val="bullet"/>
      <w:lvlText w:val="•"/>
      <w:lvlJc w:val="left"/>
      <w:pPr>
        <w:ind w:left="7531" w:hanging="632"/>
      </w:pPr>
      <w:rPr>
        <w:rFonts w:hint="default"/>
        <w:lang w:val="zh-cn" w:eastAsia="zh-cn" w:bidi="zh-cn"/>
      </w:rPr>
    </w:lvl>
  </w:abstractNum>
  <w:abstractNum w:abstractNumId="12">
    <w:multiLevelType w:val="hybridMultilevel"/>
    <w:lvl w:ilvl="0">
      <w:start w:val="1"/>
      <w:numFmt w:val="decimal"/>
      <w:lvlText w:val="%1"/>
      <w:lvlJc w:val="left"/>
      <w:pPr>
        <w:ind w:left="758" w:hanging="459"/>
        <w:jc w:val="left"/>
      </w:pPr>
      <w:rPr>
        <w:rFonts w:hint="default"/>
        <w:lang w:val="zh-cn" w:eastAsia="zh-cn" w:bidi="zh-cn"/>
      </w:rPr>
    </w:lvl>
    <w:lvl w:ilvl="1">
      <w:start w:val="2"/>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55" w:hanging="656"/>
        <w:jc w:val="left"/>
      </w:pPr>
      <w:rPr>
        <w:rFonts w:hint="default" w:ascii="Arial" w:hAnsi="Arial" w:eastAsia="Arial" w:cs="Arial"/>
        <w:spacing w:val="-2"/>
        <w:w w:val="99"/>
        <w:sz w:val="24"/>
        <w:szCs w:val="24"/>
        <w:lang w:val="zh-cn" w:eastAsia="zh-cn" w:bidi="zh-cn"/>
      </w:rPr>
    </w:lvl>
    <w:lvl w:ilvl="3">
      <w:start w:val="0"/>
      <w:numFmt w:val="bullet"/>
      <w:lvlText w:val="•"/>
      <w:lvlJc w:val="left"/>
      <w:pPr>
        <w:ind w:left="2850" w:hanging="656"/>
      </w:pPr>
      <w:rPr>
        <w:rFonts w:hint="default"/>
        <w:lang w:val="zh-cn" w:eastAsia="zh-cn" w:bidi="zh-cn"/>
      </w:rPr>
    </w:lvl>
    <w:lvl w:ilvl="4">
      <w:start w:val="0"/>
      <w:numFmt w:val="bullet"/>
      <w:lvlText w:val="•"/>
      <w:lvlJc w:val="left"/>
      <w:pPr>
        <w:ind w:left="3795" w:hanging="656"/>
      </w:pPr>
      <w:rPr>
        <w:rFonts w:hint="default"/>
        <w:lang w:val="zh-cn" w:eastAsia="zh-cn" w:bidi="zh-cn"/>
      </w:rPr>
    </w:lvl>
    <w:lvl w:ilvl="5">
      <w:start w:val="0"/>
      <w:numFmt w:val="bullet"/>
      <w:lvlText w:val="•"/>
      <w:lvlJc w:val="left"/>
      <w:pPr>
        <w:ind w:left="4740" w:hanging="656"/>
      </w:pPr>
      <w:rPr>
        <w:rFonts w:hint="default"/>
        <w:lang w:val="zh-cn" w:eastAsia="zh-cn" w:bidi="zh-cn"/>
      </w:rPr>
    </w:lvl>
    <w:lvl w:ilvl="6">
      <w:start w:val="0"/>
      <w:numFmt w:val="bullet"/>
      <w:lvlText w:val="•"/>
      <w:lvlJc w:val="left"/>
      <w:pPr>
        <w:ind w:left="5685" w:hanging="656"/>
      </w:pPr>
      <w:rPr>
        <w:rFonts w:hint="default"/>
        <w:lang w:val="zh-cn" w:eastAsia="zh-cn" w:bidi="zh-cn"/>
      </w:rPr>
    </w:lvl>
    <w:lvl w:ilvl="7">
      <w:start w:val="0"/>
      <w:numFmt w:val="bullet"/>
      <w:lvlText w:val="•"/>
      <w:lvlJc w:val="left"/>
      <w:pPr>
        <w:ind w:left="6630" w:hanging="656"/>
      </w:pPr>
      <w:rPr>
        <w:rFonts w:hint="default"/>
        <w:lang w:val="zh-cn" w:eastAsia="zh-cn" w:bidi="zh-cn"/>
      </w:rPr>
    </w:lvl>
    <w:lvl w:ilvl="8">
      <w:start w:val="0"/>
      <w:numFmt w:val="bullet"/>
      <w:lvlText w:val="•"/>
      <w:lvlJc w:val="left"/>
      <w:pPr>
        <w:ind w:left="7576" w:hanging="656"/>
      </w:pPr>
      <w:rPr>
        <w:rFonts w:hint="default"/>
        <w:lang w:val="zh-cn" w:eastAsia="zh-cn" w:bidi="zh-cn"/>
      </w:rPr>
    </w:lvl>
  </w:abstractNum>
  <w:abstractNum w:abstractNumId="11">
    <w:multiLevelType w:val="hybridMultilevel"/>
    <w:lvl w:ilvl="0">
      <w:start w:val="1"/>
      <w:numFmt w:val="decimal"/>
      <w:lvlText w:val="%1"/>
      <w:lvlJc w:val="left"/>
      <w:pPr>
        <w:ind w:left="994" w:hanging="694"/>
        <w:jc w:val="left"/>
      </w:pPr>
      <w:rPr>
        <w:rFonts w:hint="default"/>
        <w:lang w:val="zh-cn" w:eastAsia="zh-cn" w:bidi="zh-cn"/>
      </w:rPr>
    </w:lvl>
    <w:lvl w:ilvl="1">
      <w:start w:val="1"/>
      <w:numFmt w:val="decimal"/>
      <w:lvlText w:val="%1.%2"/>
      <w:lvlJc w:val="left"/>
      <w:pPr>
        <w:ind w:left="994" w:hanging="694"/>
        <w:jc w:val="left"/>
      </w:pPr>
      <w:rPr>
        <w:rFonts w:hint="default"/>
        <w:lang w:val="zh-cn" w:eastAsia="zh-cn" w:bidi="zh-cn"/>
      </w:rPr>
    </w:lvl>
    <w:lvl w:ilvl="2">
      <w:start w:val="2"/>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1"/>
      <w:numFmt w:val="decimal"/>
      <w:lvlText w:val="%1.%2.%3.%4"/>
      <w:lvlJc w:val="left"/>
      <w:pPr>
        <w:ind w:left="1226" w:hanging="927"/>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968" w:hanging="927"/>
      </w:pPr>
      <w:rPr>
        <w:rFonts w:hint="default"/>
        <w:lang w:val="zh-cn" w:eastAsia="zh-cn" w:bidi="zh-cn"/>
      </w:rPr>
    </w:lvl>
    <w:lvl w:ilvl="5">
      <w:start w:val="0"/>
      <w:numFmt w:val="bullet"/>
      <w:lvlText w:val="•"/>
      <w:lvlJc w:val="left"/>
      <w:pPr>
        <w:ind w:left="4885" w:hanging="927"/>
      </w:pPr>
      <w:rPr>
        <w:rFonts w:hint="default"/>
        <w:lang w:val="zh-cn" w:eastAsia="zh-cn" w:bidi="zh-cn"/>
      </w:rPr>
    </w:lvl>
    <w:lvl w:ilvl="6">
      <w:start w:val="0"/>
      <w:numFmt w:val="bullet"/>
      <w:lvlText w:val="•"/>
      <w:lvlJc w:val="left"/>
      <w:pPr>
        <w:ind w:left="5801" w:hanging="927"/>
      </w:pPr>
      <w:rPr>
        <w:rFonts w:hint="default"/>
        <w:lang w:val="zh-cn" w:eastAsia="zh-cn" w:bidi="zh-cn"/>
      </w:rPr>
    </w:lvl>
    <w:lvl w:ilvl="7">
      <w:start w:val="0"/>
      <w:numFmt w:val="bullet"/>
      <w:lvlText w:val="•"/>
      <w:lvlJc w:val="left"/>
      <w:pPr>
        <w:ind w:left="6717" w:hanging="927"/>
      </w:pPr>
      <w:rPr>
        <w:rFonts w:hint="default"/>
        <w:lang w:val="zh-cn" w:eastAsia="zh-cn" w:bidi="zh-cn"/>
      </w:rPr>
    </w:lvl>
    <w:lvl w:ilvl="8">
      <w:start w:val="0"/>
      <w:numFmt w:val="bullet"/>
      <w:lvlText w:val="•"/>
      <w:lvlJc w:val="left"/>
      <w:pPr>
        <w:ind w:left="7633" w:hanging="927"/>
      </w:pPr>
      <w:rPr>
        <w:rFonts w:hint="default"/>
        <w:lang w:val="zh-cn" w:eastAsia="zh-cn" w:bidi="zh-cn"/>
      </w:rPr>
    </w:lvl>
  </w:abstractNum>
  <w:abstractNum w:abstractNumId="10">
    <w:multiLevelType w:val="hybridMultilevel"/>
    <w:lvl w:ilvl="0">
      <w:start w:val="1"/>
      <w:numFmt w:val="decimal"/>
      <w:lvlText w:val="%1"/>
      <w:lvlJc w:val="left"/>
      <w:pPr>
        <w:ind w:left="768" w:hanging="468"/>
        <w:jc w:val="left"/>
      </w:pPr>
      <w:rPr>
        <w:rFonts w:hint="default" w:ascii="Arial" w:hAnsi="Arial" w:eastAsia="Arial" w:cs="Arial"/>
        <w:b/>
        <w:bCs/>
        <w:w w:val="99"/>
        <w:sz w:val="30"/>
        <w:szCs w:val="30"/>
        <w:lang w:val="zh-cn" w:eastAsia="zh-cn" w:bidi="zh-cn"/>
      </w:rPr>
    </w:lvl>
    <w:lvl w:ilvl="1">
      <w:start w:val="1"/>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1"/>
      <w:numFmt w:val="decimal"/>
      <w:lvlText w:val="%1.%2.%3.%4"/>
      <w:lvlJc w:val="left"/>
      <w:pPr>
        <w:ind w:left="1296" w:hanging="996"/>
        <w:jc w:val="left"/>
      </w:pPr>
      <w:rPr>
        <w:rFonts w:hint="default" w:ascii="Arial" w:hAnsi="Arial" w:eastAsia="Arial" w:cs="Arial"/>
        <w:spacing w:val="-3"/>
        <w:w w:val="100"/>
        <w:sz w:val="28"/>
        <w:szCs w:val="28"/>
        <w:lang w:val="zh-cn" w:eastAsia="zh-cn" w:bidi="zh-cn"/>
      </w:rPr>
    </w:lvl>
    <w:lvl w:ilvl="4">
      <w:start w:val="1"/>
      <w:numFmt w:val="decimal"/>
      <w:lvlText w:val="%5)"/>
      <w:lvlJc w:val="left"/>
      <w:pPr>
        <w:ind w:left="300" w:hanging="344"/>
        <w:jc w:val="left"/>
      </w:pPr>
      <w:rPr>
        <w:rFonts w:hint="default" w:ascii="Arial" w:hAnsi="Arial" w:eastAsia="Arial" w:cs="Arial"/>
        <w:spacing w:val="-60"/>
        <w:w w:val="99"/>
        <w:sz w:val="24"/>
        <w:szCs w:val="24"/>
        <w:lang w:val="zh-cn" w:eastAsia="zh-cn" w:bidi="zh-cn"/>
      </w:rPr>
    </w:lvl>
    <w:lvl w:ilvl="5">
      <w:start w:val="0"/>
      <w:numFmt w:val="bullet"/>
      <w:lvlText w:val="•"/>
      <w:lvlJc w:val="left"/>
      <w:pPr>
        <w:ind w:left="3633" w:hanging="344"/>
      </w:pPr>
      <w:rPr>
        <w:rFonts w:hint="default"/>
        <w:lang w:val="zh-cn" w:eastAsia="zh-cn" w:bidi="zh-cn"/>
      </w:rPr>
    </w:lvl>
    <w:lvl w:ilvl="6">
      <w:start w:val="0"/>
      <w:numFmt w:val="bullet"/>
      <w:lvlText w:val="•"/>
      <w:lvlJc w:val="left"/>
      <w:pPr>
        <w:ind w:left="4799" w:hanging="344"/>
      </w:pPr>
      <w:rPr>
        <w:rFonts w:hint="default"/>
        <w:lang w:val="zh-cn" w:eastAsia="zh-cn" w:bidi="zh-cn"/>
      </w:rPr>
    </w:lvl>
    <w:lvl w:ilvl="7">
      <w:start w:val="0"/>
      <w:numFmt w:val="bullet"/>
      <w:lvlText w:val="•"/>
      <w:lvlJc w:val="left"/>
      <w:pPr>
        <w:ind w:left="5966" w:hanging="344"/>
      </w:pPr>
      <w:rPr>
        <w:rFonts w:hint="default"/>
        <w:lang w:val="zh-cn" w:eastAsia="zh-cn" w:bidi="zh-cn"/>
      </w:rPr>
    </w:lvl>
    <w:lvl w:ilvl="8">
      <w:start w:val="0"/>
      <w:numFmt w:val="bullet"/>
      <w:lvlText w:val="•"/>
      <w:lvlJc w:val="left"/>
      <w:pPr>
        <w:ind w:left="7133" w:hanging="344"/>
      </w:pPr>
      <w:rPr>
        <w:rFonts w:hint="default"/>
        <w:lang w:val="zh-cn" w:eastAsia="zh-cn" w:bidi="zh-cn"/>
      </w:rPr>
    </w:lvl>
  </w:abstractNum>
  <w:abstractNum w:abstractNumId="9">
    <w:multiLevelType w:val="hybridMultilevel"/>
    <w:lvl w:ilvl="0">
      <w:start w:val="2"/>
      <w:numFmt w:val="decimal"/>
      <w:lvlText w:val="%1"/>
      <w:lvlJc w:val="left"/>
      <w:pPr>
        <w:ind w:left="994" w:hanging="694"/>
        <w:jc w:val="left"/>
      </w:pPr>
      <w:rPr>
        <w:rFonts w:hint="default"/>
        <w:lang w:val="zh-cn" w:eastAsia="zh-cn" w:bidi="zh-cn"/>
      </w:rPr>
    </w:lvl>
    <w:lvl w:ilvl="1">
      <w:start w:val="2"/>
      <w:numFmt w:val="decimal"/>
      <w:lvlText w:val="%1.%2"/>
      <w:lvlJc w:val="left"/>
      <w:pPr>
        <w:ind w:left="994" w:hanging="694"/>
        <w:jc w:val="left"/>
      </w:pPr>
      <w:rPr>
        <w:rFonts w:hint="default"/>
        <w:lang w:val="zh-cn" w:eastAsia="zh-cn" w:bidi="zh-cn"/>
      </w:rPr>
    </w:lvl>
    <w:lvl w:ilvl="2">
      <w:start w:val="1"/>
      <w:numFmt w:val="decimal"/>
      <w:lvlText w:val="%1.%2.%3"/>
      <w:lvlJc w:val="left"/>
      <w:pPr>
        <w:ind w:left="994" w:hanging="694"/>
        <w:jc w:val="left"/>
      </w:pPr>
      <w:rPr>
        <w:rFonts w:hint="default"/>
        <w:b/>
        <w:bCs/>
        <w:w w:val="100"/>
        <w:lang w:val="zh-cn" w:eastAsia="zh-cn" w:bidi="zh-cn"/>
      </w:rPr>
    </w:lvl>
    <w:lvl w:ilvl="3">
      <w:start w:val="1"/>
      <w:numFmt w:val="decimal"/>
      <w:lvlText w:val="%1.%2.%3.%4"/>
      <w:lvlJc w:val="left"/>
      <w:pPr>
        <w:ind w:left="1226" w:hanging="927"/>
        <w:jc w:val="left"/>
      </w:pPr>
      <w:rPr>
        <w:rFonts w:hint="default"/>
        <w:spacing w:val="-3"/>
        <w:w w:val="100"/>
        <w:lang w:val="zh-cn" w:eastAsia="zh-cn" w:bidi="zh-cn"/>
      </w:rPr>
    </w:lvl>
    <w:lvl w:ilvl="4">
      <w:start w:val="0"/>
      <w:numFmt w:val="bullet"/>
      <w:lvlText w:val="•"/>
      <w:lvlJc w:val="left"/>
      <w:pPr>
        <w:ind w:left="3968" w:hanging="927"/>
      </w:pPr>
      <w:rPr>
        <w:rFonts w:hint="default"/>
        <w:lang w:val="zh-cn" w:eastAsia="zh-cn" w:bidi="zh-cn"/>
      </w:rPr>
    </w:lvl>
    <w:lvl w:ilvl="5">
      <w:start w:val="0"/>
      <w:numFmt w:val="bullet"/>
      <w:lvlText w:val="•"/>
      <w:lvlJc w:val="left"/>
      <w:pPr>
        <w:ind w:left="4885" w:hanging="927"/>
      </w:pPr>
      <w:rPr>
        <w:rFonts w:hint="default"/>
        <w:lang w:val="zh-cn" w:eastAsia="zh-cn" w:bidi="zh-cn"/>
      </w:rPr>
    </w:lvl>
    <w:lvl w:ilvl="6">
      <w:start w:val="0"/>
      <w:numFmt w:val="bullet"/>
      <w:lvlText w:val="•"/>
      <w:lvlJc w:val="left"/>
      <w:pPr>
        <w:ind w:left="5801" w:hanging="927"/>
      </w:pPr>
      <w:rPr>
        <w:rFonts w:hint="default"/>
        <w:lang w:val="zh-cn" w:eastAsia="zh-cn" w:bidi="zh-cn"/>
      </w:rPr>
    </w:lvl>
    <w:lvl w:ilvl="7">
      <w:start w:val="0"/>
      <w:numFmt w:val="bullet"/>
      <w:lvlText w:val="•"/>
      <w:lvlJc w:val="left"/>
      <w:pPr>
        <w:ind w:left="6717" w:hanging="927"/>
      </w:pPr>
      <w:rPr>
        <w:rFonts w:hint="default"/>
        <w:lang w:val="zh-cn" w:eastAsia="zh-cn" w:bidi="zh-cn"/>
      </w:rPr>
    </w:lvl>
    <w:lvl w:ilvl="8">
      <w:start w:val="0"/>
      <w:numFmt w:val="bullet"/>
      <w:lvlText w:val="•"/>
      <w:lvlJc w:val="left"/>
      <w:pPr>
        <w:ind w:left="7633" w:hanging="927"/>
      </w:pPr>
      <w:rPr>
        <w:rFonts w:hint="default"/>
        <w:lang w:val="zh-cn" w:eastAsia="zh-cn" w:bidi="zh-cn"/>
      </w:rPr>
    </w:lvl>
  </w:abstractNum>
  <w:abstractNum w:abstractNumId="8">
    <w:multiLevelType w:val="hybridMultilevel"/>
    <w:lvl w:ilvl="0">
      <w:start w:val="1"/>
      <w:numFmt w:val="decimal"/>
      <w:lvlText w:val="%1）"/>
      <w:lvlJc w:val="left"/>
      <w:pPr>
        <w:ind w:left="300" w:hanging="376"/>
        <w:jc w:val="left"/>
      </w:pPr>
      <w:rPr>
        <w:rFonts w:hint="default" w:ascii="Arial" w:hAnsi="Arial" w:eastAsia="Arial" w:cs="Arial"/>
        <w:spacing w:val="-58"/>
        <w:w w:val="99"/>
        <w:sz w:val="22"/>
        <w:szCs w:val="22"/>
        <w:lang w:val="zh-cn" w:eastAsia="zh-cn" w:bidi="zh-cn"/>
      </w:rPr>
    </w:lvl>
    <w:lvl w:ilvl="1">
      <w:start w:val="0"/>
      <w:numFmt w:val="bullet"/>
      <w:lvlText w:val="•"/>
      <w:lvlJc w:val="left"/>
      <w:pPr>
        <w:ind w:left="1216" w:hanging="376"/>
      </w:pPr>
      <w:rPr>
        <w:rFonts w:hint="default"/>
        <w:lang w:val="zh-cn" w:eastAsia="zh-cn" w:bidi="zh-cn"/>
      </w:rPr>
    </w:lvl>
    <w:lvl w:ilvl="2">
      <w:start w:val="0"/>
      <w:numFmt w:val="bullet"/>
      <w:lvlText w:val="•"/>
      <w:lvlJc w:val="left"/>
      <w:pPr>
        <w:ind w:left="2133" w:hanging="376"/>
      </w:pPr>
      <w:rPr>
        <w:rFonts w:hint="default"/>
        <w:lang w:val="zh-cn" w:eastAsia="zh-cn" w:bidi="zh-cn"/>
      </w:rPr>
    </w:lvl>
    <w:lvl w:ilvl="3">
      <w:start w:val="0"/>
      <w:numFmt w:val="bullet"/>
      <w:lvlText w:val="•"/>
      <w:lvlJc w:val="left"/>
      <w:pPr>
        <w:ind w:left="3049" w:hanging="376"/>
      </w:pPr>
      <w:rPr>
        <w:rFonts w:hint="default"/>
        <w:lang w:val="zh-cn" w:eastAsia="zh-cn" w:bidi="zh-cn"/>
      </w:rPr>
    </w:lvl>
    <w:lvl w:ilvl="4">
      <w:start w:val="0"/>
      <w:numFmt w:val="bullet"/>
      <w:lvlText w:val="•"/>
      <w:lvlJc w:val="left"/>
      <w:pPr>
        <w:ind w:left="3966" w:hanging="376"/>
      </w:pPr>
      <w:rPr>
        <w:rFonts w:hint="default"/>
        <w:lang w:val="zh-cn" w:eastAsia="zh-cn" w:bidi="zh-cn"/>
      </w:rPr>
    </w:lvl>
    <w:lvl w:ilvl="5">
      <w:start w:val="0"/>
      <w:numFmt w:val="bullet"/>
      <w:lvlText w:val="•"/>
      <w:lvlJc w:val="left"/>
      <w:pPr>
        <w:ind w:left="4883" w:hanging="376"/>
      </w:pPr>
      <w:rPr>
        <w:rFonts w:hint="default"/>
        <w:lang w:val="zh-cn" w:eastAsia="zh-cn" w:bidi="zh-cn"/>
      </w:rPr>
    </w:lvl>
    <w:lvl w:ilvl="6">
      <w:start w:val="0"/>
      <w:numFmt w:val="bullet"/>
      <w:lvlText w:val="•"/>
      <w:lvlJc w:val="left"/>
      <w:pPr>
        <w:ind w:left="5799" w:hanging="376"/>
      </w:pPr>
      <w:rPr>
        <w:rFonts w:hint="default"/>
        <w:lang w:val="zh-cn" w:eastAsia="zh-cn" w:bidi="zh-cn"/>
      </w:rPr>
    </w:lvl>
    <w:lvl w:ilvl="7">
      <w:start w:val="0"/>
      <w:numFmt w:val="bullet"/>
      <w:lvlText w:val="•"/>
      <w:lvlJc w:val="left"/>
      <w:pPr>
        <w:ind w:left="6716" w:hanging="376"/>
      </w:pPr>
      <w:rPr>
        <w:rFonts w:hint="default"/>
        <w:lang w:val="zh-cn" w:eastAsia="zh-cn" w:bidi="zh-cn"/>
      </w:rPr>
    </w:lvl>
    <w:lvl w:ilvl="8">
      <w:start w:val="0"/>
      <w:numFmt w:val="bullet"/>
      <w:lvlText w:val="•"/>
      <w:lvlJc w:val="left"/>
      <w:pPr>
        <w:ind w:left="7633" w:hanging="376"/>
      </w:pPr>
      <w:rPr>
        <w:rFonts w:hint="default"/>
        <w:lang w:val="zh-cn" w:eastAsia="zh-cn" w:bidi="zh-cn"/>
      </w:rPr>
    </w:lvl>
  </w:abstractNum>
  <w:abstractNum w:abstractNumId="7">
    <w:multiLevelType w:val="hybridMultilevel"/>
    <w:lvl w:ilvl="0">
      <w:start w:val="2"/>
      <w:numFmt w:val="decimal"/>
      <w:lvlText w:val="%1"/>
      <w:lvlJc w:val="left"/>
      <w:pPr>
        <w:ind w:left="1205" w:hanging="905"/>
        <w:jc w:val="left"/>
      </w:pPr>
      <w:rPr>
        <w:rFonts w:hint="default"/>
        <w:lang w:val="zh-cn" w:eastAsia="zh-cn" w:bidi="zh-cn"/>
      </w:rPr>
    </w:lvl>
    <w:lvl w:ilvl="1">
      <w:start w:val="1"/>
      <w:numFmt w:val="decimal"/>
      <w:lvlText w:val="%1.%2"/>
      <w:lvlJc w:val="left"/>
      <w:pPr>
        <w:ind w:left="1205" w:hanging="905"/>
        <w:jc w:val="left"/>
      </w:pPr>
      <w:rPr>
        <w:rFonts w:hint="default"/>
        <w:lang w:val="zh-cn" w:eastAsia="zh-cn" w:bidi="zh-cn"/>
      </w:rPr>
    </w:lvl>
    <w:lvl w:ilvl="2">
      <w:start w:val="2"/>
      <w:numFmt w:val="decimal"/>
      <w:lvlText w:val="%1.%2.%3"/>
      <w:lvlJc w:val="left"/>
      <w:pPr>
        <w:ind w:left="1205" w:hanging="905"/>
        <w:jc w:val="left"/>
      </w:pPr>
      <w:rPr>
        <w:rFonts w:hint="default" w:ascii="Arial" w:hAnsi="Arial" w:eastAsia="Arial" w:cs="Arial"/>
        <w:b/>
        <w:bCs/>
        <w:spacing w:val="-1"/>
        <w:w w:val="100"/>
        <w:sz w:val="28"/>
        <w:szCs w:val="28"/>
        <w:lang w:val="zh-cn" w:eastAsia="zh-cn" w:bidi="zh-cn"/>
      </w:rPr>
    </w:lvl>
    <w:lvl w:ilvl="3">
      <w:start w:val="1"/>
      <w:numFmt w:val="decimal"/>
      <w:lvlText w:val="%1.%2.%3.%4"/>
      <w:lvlJc w:val="left"/>
      <w:pPr>
        <w:ind w:left="300" w:hanging="831"/>
        <w:jc w:val="left"/>
      </w:pPr>
      <w:rPr>
        <w:rFonts w:hint="default" w:ascii="Arial" w:hAnsi="Arial" w:eastAsia="Arial" w:cs="Arial"/>
        <w:spacing w:val="-2"/>
        <w:w w:val="99"/>
        <w:sz w:val="24"/>
        <w:szCs w:val="24"/>
        <w:lang w:val="zh-cn" w:eastAsia="zh-cn" w:bidi="zh-cn"/>
      </w:rPr>
    </w:lvl>
    <w:lvl w:ilvl="4">
      <w:start w:val="1"/>
      <w:numFmt w:val="decimal"/>
      <w:lvlText w:val="%5."/>
      <w:lvlJc w:val="left"/>
      <w:pPr>
        <w:ind w:left="1150" w:hanging="370"/>
        <w:jc w:val="left"/>
      </w:pPr>
      <w:rPr>
        <w:rFonts w:hint="default" w:ascii="Arial" w:hAnsi="Arial" w:eastAsia="Arial" w:cs="Arial"/>
        <w:spacing w:val="-32"/>
        <w:w w:val="100"/>
        <w:sz w:val="24"/>
        <w:szCs w:val="24"/>
        <w:lang w:val="zh-cn" w:eastAsia="zh-cn" w:bidi="zh-cn"/>
      </w:rPr>
    </w:lvl>
    <w:lvl w:ilvl="5">
      <w:start w:val="0"/>
      <w:numFmt w:val="bullet"/>
      <w:lvlText w:val="•"/>
      <w:lvlJc w:val="left"/>
      <w:pPr>
        <w:ind w:left="4299" w:hanging="370"/>
      </w:pPr>
      <w:rPr>
        <w:rFonts w:hint="default"/>
        <w:lang w:val="zh-cn" w:eastAsia="zh-cn" w:bidi="zh-cn"/>
      </w:rPr>
    </w:lvl>
    <w:lvl w:ilvl="6">
      <w:start w:val="0"/>
      <w:numFmt w:val="bullet"/>
      <w:lvlText w:val="•"/>
      <w:lvlJc w:val="left"/>
      <w:pPr>
        <w:ind w:left="5333" w:hanging="370"/>
      </w:pPr>
      <w:rPr>
        <w:rFonts w:hint="default"/>
        <w:lang w:val="zh-cn" w:eastAsia="zh-cn" w:bidi="zh-cn"/>
      </w:rPr>
    </w:lvl>
    <w:lvl w:ilvl="7">
      <w:start w:val="0"/>
      <w:numFmt w:val="bullet"/>
      <w:lvlText w:val="•"/>
      <w:lvlJc w:val="left"/>
      <w:pPr>
        <w:ind w:left="6366" w:hanging="370"/>
      </w:pPr>
      <w:rPr>
        <w:rFonts w:hint="default"/>
        <w:lang w:val="zh-cn" w:eastAsia="zh-cn" w:bidi="zh-cn"/>
      </w:rPr>
    </w:lvl>
    <w:lvl w:ilvl="8">
      <w:start w:val="0"/>
      <w:numFmt w:val="bullet"/>
      <w:lvlText w:val="•"/>
      <w:lvlJc w:val="left"/>
      <w:pPr>
        <w:ind w:left="7399" w:hanging="370"/>
      </w:pPr>
      <w:rPr>
        <w:rFonts w:hint="default"/>
        <w:lang w:val="zh-cn" w:eastAsia="zh-cn" w:bidi="zh-cn"/>
      </w:rPr>
    </w:lvl>
  </w:abstractNum>
  <w:abstractNum w:abstractNumId="6">
    <w:multiLevelType w:val="hybridMultilevel"/>
    <w:lvl w:ilvl="0">
      <w:start w:val="2"/>
      <w:numFmt w:val="decimal"/>
      <w:lvlText w:val="%1"/>
      <w:lvlJc w:val="left"/>
      <w:pPr>
        <w:ind w:left="792" w:hanging="492"/>
        <w:jc w:val="left"/>
      </w:pPr>
      <w:rPr>
        <w:rFonts w:hint="default"/>
        <w:lang w:val="zh-cn" w:eastAsia="zh-cn" w:bidi="zh-cn"/>
      </w:rPr>
    </w:lvl>
    <w:lvl w:ilvl="1">
      <w:start w:val="1"/>
      <w:numFmt w:val="decimal"/>
      <w:lvlText w:val="%1.%2"/>
      <w:lvlJc w:val="left"/>
      <w:pPr>
        <w:ind w:left="792" w:hanging="492"/>
        <w:jc w:val="left"/>
      </w:pPr>
      <w:rPr>
        <w:rFonts w:hint="default" w:ascii="Arial" w:hAnsi="Arial" w:eastAsia="Arial" w:cs="Arial"/>
        <w:b/>
        <w:bCs/>
        <w:w w:val="99"/>
        <w:sz w:val="30"/>
        <w:szCs w:val="30"/>
        <w:lang w:val="zh-cn" w:eastAsia="zh-cn" w:bidi="zh-cn"/>
      </w:rPr>
    </w:lvl>
    <w:lvl w:ilvl="2">
      <w:start w:val="1"/>
      <w:numFmt w:val="decimal"/>
      <w:lvlText w:val="%1.%2.%3"/>
      <w:lvlJc w:val="left"/>
      <w:pPr>
        <w:ind w:left="1042" w:hanging="742"/>
        <w:jc w:val="left"/>
      </w:pPr>
      <w:rPr>
        <w:rFonts w:hint="default" w:ascii="Arial" w:hAnsi="Arial" w:eastAsia="Arial" w:cs="Arial"/>
        <w:b/>
        <w:bCs/>
        <w:spacing w:val="-2"/>
        <w:w w:val="99"/>
        <w:sz w:val="30"/>
        <w:szCs w:val="30"/>
        <w:lang w:val="zh-cn" w:eastAsia="zh-cn" w:bidi="zh-cn"/>
      </w:rPr>
    </w:lvl>
    <w:lvl w:ilvl="3">
      <w:start w:val="1"/>
      <w:numFmt w:val="decimal"/>
      <w:lvlText w:val="%1.%2.%3.%4"/>
      <w:lvlJc w:val="left"/>
      <w:pPr>
        <w:ind w:left="1435" w:hanging="1136"/>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446" w:hanging="1136"/>
      </w:pPr>
      <w:rPr>
        <w:rFonts w:hint="default"/>
        <w:lang w:val="zh-cn" w:eastAsia="zh-cn" w:bidi="zh-cn"/>
      </w:rPr>
    </w:lvl>
    <w:lvl w:ilvl="5">
      <w:start w:val="0"/>
      <w:numFmt w:val="bullet"/>
      <w:lvlText w:val="•"/>
      <w:lvlJc w:val="left"/>
      <w:pPr>
        <w:ind w:left="4449" w:hanging="1136"/>
      </w:pPr>
      <w:rPr>
        <w:rFonts w:hint="default"/>
        <w:lang w:val="zh-cn" w:eastAsia="zh-cn" w:bidi="zh-cn"/>
      </w:rPr>
    </w:lvl>
    <w:lvl w:ilvl="6">
      <w:start w:val="0"/>
      <w:numFmt w:val="bullet"/>
      <w:lvlText w:val="•"/>
      <w:lvlJc w:val="left"/>
      <w:pPr>
        <w:ind w:left="5453" w:hanging="1136"/>
      </w:pPr>
      <w:rPr>
        <w:rFonts w:hint="default"/>
        <w:lang w:val="zh-cn" w:eastAsia="zh-cn" w:bidi="zh-cn"/>
      </w:rPr>
    </w:lvl>
    <w:lvl w:ilvl="7">
      <w:start w:val="0"/>
      <w:numFmt w:val="bullet"/>
      <w:lvlText w:val="•"/>
      <w:lvlJc w:val="left"/>
      <w:pPr>
        <w:ind w:left="6456" w:hanging="1136"/>
      </w:pPr>
      <w:rPr>
        <w:rFonts w:hint="default"/>
        <w:lang w:val="zh-cn" w:eastAsia="zh-cn" w:bidi="zh-cn"/>
      </w:rPr>
    </w:lvl>
    <w:lvl w:ilvl="8">
      <w:start w:val="0"/>
      <w:numFmt w:val="bullet"/>
      <w:lvlText w:val="•"/>
      <w:lvlJc w:val="left"/>
      <w:pPr>
        <w:ind w:left="7459" w:hanging="1136"/>
      </w:pPr>
      <w:rPr>
        <w:rFonts w:hint="default"/>
        <w:lang w:val="zh-cn" w:eastAsia="zh-cn" w:bidi="zh-cn"/>
      </w:rPr>
    </w:lvl>
  </w:abstractNum>
  <w:abstractNum w:abstractNumId="5">
    <w:multiLevelType w:val="hybridMultilevel"/>
    <w:lvl w:ilvl="0">
      <w:start w:val="1"/>
      <w:numFmt w:val="decimal"/>
      <w:lvlText w:val="%1"/>
      <w:lvlJc w:val="left"/>
      <w:pPr>
        <w:ind w:left="758" w:hanging="459"/>
        <w:jc w:val="left"/>
      </w:pPr>
      <w:rPr>
        <w:rFonts w:hint="default"/>
        <w:lang w:val="zh-cn" w:eastAsia="zh-cn" w:bidi="zh-cn"/>
      </w:rPr>
    </w:lvl>
    <w:lvl w:ilvl="1">
      <w:start w:val="2"/>
      <w:numFmt w:val="decimal"/>
      <w:lvlText w:val="%1.%2"/>
      <w:lvlJc w:val="left"/>
      <w:pPr>
        <w:ind w:left="758" w:hanging="459"/>
        <w:jc w:val="left"/>
      </w:pPr>
      <w:rPr>
        <w:rFonts w:hint="default"/>
        <w:b/>
        <w:bCs/>
        <w:w w:val="100"/>
        <w:lang w:val="zh-cn" w:eastAsia="zh-cn" w:bidi="zh-cn"/>
      </w:rPr>
    </w:lvl>
    <w:lvl w:ilvl="2">
      <w:start w:val="1"/>
      <w:numFmt w:val="decimal"/>
      <w:lvlText w:val="%1.%2.%3"/>
      <w:lvlJc w:val="left"/>
      <w:pPr>
        <w:ind w:left="955" w:hanging="656"/>
        <w:jc w:val="left"/>
      </w:pPr>
      <w:rPr>
        <w:rFonts w:hint="default" w:ascii="Arial" w:hAnsi="Arial" w:eastAsia="Arial" w:cs="Arial"/>
        <w:spacing w:val="-2"/>
        <w:w w:val="99"/>
        <w:sz w:val="24"/>
        <w:szCs w:val="24"/>
        <w:lang w:val="zh-cn" w:eastAsia="zh-cn" w:bidi="zh-cn"/>
      </w:rPr>
    </w:lvl>
    <w:lvl w:ilvl="3">
      <w:start w:val="0"/>
      <w:numFmt w:val="bullet"/>
      <w:lvlText w:val="•"/>
      <w:lvlJc w:val="left"/>
      <w:pPr>
        <w:ind w:left="2850" w:hanging="656"/>
      </w:pPr>
      <w:rPr>
        <w:rFonts w:hint="default"/>
        <w:lang w:val="zh-cn" w:eastAsia="zh-cn" w:bidi="zh-cn"/>
      </w:rPr>
    </w:lvl>
    <w:lvl w:ilvl="4">
      <w:start w:val="0"/>
      <w:numFmt w:val="bullet"/>
      <w:lvlText w:val="•"/>
      <w:lvlJc w:val="left"/>
      <w:pPr>
        <w:ind w:left="3795" w:hanging="656"/>
      </w:pPr>
      <w:rPr>
        <w:rFonts w:hint="default"/>
        <w:lang w:val="zh-cn" w:eastAsia="zh-cn" w:bidi="zh-cn"/>
      </w:rPr>
    </w:lvl>
    <w:lvl w:ilvl="5">
      <w:start w:val="0"/>
      <w:numFmt w:val="bullet"/>
      <w:lvlText w:val="•"/>
      <w:lvlJc w:val="left"/>
      <w:pPr>
        <w:ind w:left="4740" w:hanging="656"/>
      </w:pPr>
      <w:rPr>
        <w:rFonts w:hint="default"/>
        <w:lang w:val="zh-cn" w:eastAsia="zh-cn" w:bidi="zh-cn"/>
      </w:rPr>
    </w:lvl>
    <w:lvl w:ilvl="6">
      <w:start w:val="0"/>
      <w:numFmt w:val="bullet"/>
      <w:lvlText w:val="•"/>
      <w:lvlJc w:val="left"/>
      <w:pPr>
        <w:ind w:left="5685" w:hanging="656"/>
      </w:pPr>
      <w:rPr>
        <w:rFonts w:hint="default"/>
        <w:lang w:val="zh-cn" w:eastAsia="zh-cn" w:bidi="zh-cn"/>
      </w:rPr>
    </w:lvl>
    <w:lvl w:ilvl="7">
      <w:start w:val="0"/>
      <w:numFmt w:val="bullet"/>
      <w:lvlText w:val="•"/>
      <w:lvlJc w:val="left"/>
      <w:pPr>
        <w:ind w:left="6630" w:hanging="656"/>
      </w:pPr>
      <w:rPr>
        <w:rFonts w:hint="default"/>
        <w:lang w:val="zh-cn" w:eastAsia="zh-cn" w:bidi="zh-cn"/>
      </w:rPr>
    </w:lvl>
    <w:lvl w:ilvl="8">
      <w:start w:val="0"/>
      <w:numFmt w:val="bullet"/>
      <w:lvlText w:val="•"/>
      <w:lvlJc w:val="left"/>
      <w:pPr>
        <w:ind w:left="7576" w:hanging="656"/>
      </w:pPr>
      <w:rPr>
        <w:rFonts w:hint="default"/>
        <w:lang w:val="zh-cn" w:eastAsia="zh-cn" w:bidi="zh-cn"/>
      </w:rPr>
    </w:lvl>
  </w:abstractNum>
  <w:abstractNum w:abstractNumId="4">
    <w:multiLevelType w:val="hybridMultilevel"/>
    <w:lvl w:ilvl="0">
      <w:start w:val="1"/>
      <w:numFmt w:val="decimal"/>
      <w:lvlText w:val="%1"/>
      <w:lvlJc w:val="left"/>
      <w:pPr>
        <w:ind w:left="994" w:hanging="694"/>
        <w:jc w:val="left"/>
      </w:pPr>
      <w:rPr>
        <w:rFonts w:hint="default"/>
        <w:lang w:val="zh-cn" w:eastAsia="zh-cn" w:bidi="zh-cn"/>
      </w:rPr>
    </w:lvl>
    <w:lvl w:ilvl="1">
      <w:start w:val="1"/>
      <w:numFmt w:val="decimal"/>
      <w:lvlText w:val="%1.%2"/>
      <w:lvlJc w:val="left"/>
      <w:pPr>
        <w:ind w:left="994" w:hanging="694"/>
        <w:jc w:val="left"/>
      </w:pPr>
      <w:rPr>
        <w:rFonts w:hint="default"/>
        <w:lang w:val="zh-cn" w:eastAsia="zh-cn" w:bidi="zh-cn"/>
      </w:rPr>
    </w:lvl>
    <w:lvl w:ilvl="2">
      <w:start w:val="2"/>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1"/>
      <w:numFmt w:val="decimal"/>
      <w:lvlText w:val="%1.%2.%3.%4"/>
      <w:lvlJc w:val="left"/>
      <w:pPr>
        <w:ind w:left="1226" w:hanging="927"/>
        <w:jc w:val="left"/>
      </w:pPr>
      <w:rPr>
        <w:rFonts w:hint="default" w:ascii="Arial" w:hAnsi="Arial" w:eastAsia="Arial" w:cs="Arial"/>
        <w:spacing w:val="-3"/>
        <w:w w:val="100"/>
        <w:sz w:val="28"/>
        <w:szCs w:val="28"/>
        <w:lang w:val="zh-cn" w:eastAsia="zh-cn" w:bidi="zh-cn"/>
      </w:rPr>
    </w:lvl>
    <w:lvl w:ilvl="4">
      <w:start w:val="0"/>
      <w:numFmt w:val="bullet"/>
      <w:lvlText w:val="•"/>
      <w:lvlJc w:val="left"/>
      <w:pPr>
        <w:ind w:left="3968" w:hanging="927"/>
      </w:pPr>
      <w:rPr>
        <w:rFonts w:hint="default"/>
        <w:lang w:val="zh-cn" w:eastAsia="zh-cn" w:bidi="zh-cn"/>
      </w:rPr>
    </w:lvl>
    <w:lvl w:ilvl="5">
      <w:start w:val="0"/>
      <w:numFmt w:val="bullet"/>
      <w:lvlText w:val="•"/>
      <w:lvlJc w:val="left"/>
      <w:pPr>
        <w:ind w:left="4885" w:hanging="927"/>
      </w:pPr>
      <w:rPr>
        <w:rFonts w:hint="default"/>
        <w:lang w:val="zh-cn" w:eastAsia="zh-cn" w:bidi="zh-cn"/>
      </w:rPr>
    </w:lvl>
    <w:lvl w:ilvl="6">
      <w:start w:val="0"/>
      <w:numFmt w:val="bullet"/>
      <w:lvlText w:val="•"/>
      <w:lvlJc w:val="left"/>
      <w:pPr>
        <w:ind w:left="5801" w:hanging="927"/>
      </w:pPr>
      <w:rPr>
        <w:rFonts w:hint="default"/>
        <w:lang w:val="zh-cn" w:eastAsia="zh-cn" w:bidi="zh-cn"/>
      </w:rPr>
    </w:lvl>
    <w:lvl w:ilvl="7">
      <w:start w:val="0"/>
      <w:numFmt w:val="bullet"/>
      <w:lvlText w:val="•"/>
      <w:lvlJc w:val="left"/>
      <w:pPr>
        <w:ind w:left="6717" w:hanging="927"/>
      </w:pPr>
      <w:rPr>
        <w:rFonts w:hint="default"/>
        <w:lang w:val="zh-cn" w:eastAsia="zh-cn" w:bidi="zh-cn"/>
      </w:rPr>
    </w:lvl>
    <w:lvl w:ilvl="8">
      <w:start w:val="0"/>
      <w:numFmt w:val="bullet"/>
      <w:lvlText w:val="•"/>
      <w:lvlJc w:val="left"/>
      <w:pPr>
        <w:ind w:left="7633" w:hanging="927"/>
      </w:pPr>
      <w:rPr>
        <w:rFonts w:hint="default"/>
        <w:lang w:val="zh-cn" w:eastAsia="zh-cn" w:bidi="zh-cn"/>
      </w:rPr>
    </w:lvl>
  </w:abstractNum>
  <w:abstractNum w:abstractNumId="3">
    <w:multiLevelType w:val="hybridMultilevel"/>
    <w:lvl w:ilvl="0">
      <w:start w:val="1"/>
      <w:numFmt w:val="decimal"/>
      <w:lvlText w:val="%1"/>
      <w:lvlJc w:val="left"/>
      <w:pPr>
        <w:ind w:left="768" w:hanging="468"/>
        <w:jc w:val="left"/>
      </w:pPr>
      <w:rPr>
        <w:rFonts w:hint="default" w:ascii="Arial" w:hAnsi="Arial" w:eastAsia="Arial" w:cs="Arial"/>
        <w:b/>
        <w:bCs/>
        <w:w w:val="99"/>
        <w:sz w:val="30"/>
        <w:szCs w:val="30"/>
        <w:lang w:val="zh-cn" w:eastAsia="zh-cn" w:bidi="zh-cn"/>
      </w:rPr>
    </w:lvl>
    <w:lvl w:ilvl="1">
      <w:start w:val="1"/>
      <w:numFmt w:val="decimal"/>
      <w:lvlText w:val="%1.%2"/>
      <w:lvlJc w:val="left"/>
      <w:pPr>
        <w:ind w:left="758" w:hanging="459"/>
        <w:jc w:val="left"/>
      </w:pPr>
      <w:rPr>
        <w:rFonts w:hint="default" w:ascii="Arial" w:hAnsi="Arial" w:eastAsia="Arial" w:cs="Arial"/>
        <w:b/>
        <w:bCs/>
        <w:w w:val="100"/>
        <w:sz w:val="28"/>
        <w:szCs w:val="28"/>
        <w:lang w:val="zh-cn" w:eastAsia="zh-cn" w:bidi="zh-cn"/>
      </w:rPr>
    </w:lvl>
    <w:lvl w:ilvl="2">
      <w:start w:val="1"/>
      <w:numFmt w:val="decimal"/>
      <w:lvlText w:val="%1.%2.%3"/>
      <w:lvlJc w:val="left"/>
      <w:pPr>
        <w:ind w:left="994" w:hanging="694"/>
        <w:jc w:val="left"/>
      </w:pPr>
      <w:rPr>
        <w:rFonts w:hint="default" w:ascii="Arial" w:hAnsi="Arial" w:eastAsia="Arial" w:cs="Arial"/>
        <w:b/>
        <w:bCs/>
        <w:w w:val="100"/>
        <w:sz w:val="28"/>
        <w:szCs w:val="28"/>
        <w:lang w:val="zh-cn" w:eastAsia="zh-cn" w:bidi="zh-cn"/>
      </w:rPr>
    </w:lvl>
    <w:lvl w:ilvl="3">
      <w:start w:val="1"/>
      <w:numFmt w:val="decimal"/>
      <w:lvlText w:val="%1.%2.%3.%4"/>
      <w:lvlJc w:val="left"/>
      <w:pPr>
        <w:ind w:left="1296" w:hanging="996"/>
        <w:jc w:val="left"/>
      </w:pPr>
      <w:rPr>
        <w:rFonts w:hint="default" w:ascii="Arial" w:hAnsi="Arial" w:eastAsia="Arial" w:cs="Arial"/>
        <w:spacing w:val="-3"/>
        <w:w w:val="100"/>
        <w:sz w:val="28"/>
        <w:szCs w:val="28"/>
        <w:lang w:val="zh-cn" w:eastAsia="zh-cn" w:bidi="zh-cn"/>
      </w:rPr>
    </w:lvl>
    <w:lvl w:ilvl="4">
      <w:start w:val="1"/>
      <w:numFmt w:val="decimal"/>
      <w:lvlText w:val="%5)"/>
      <w:lvlJc w:val="left"/>
      <w:pPr>
        <w:ind w:left="300" w:hanging="336"/>
        <w:jc w:val="left"/>
      </w:pPr>
      <w:rPr>
        <w:rFonts w:hint="default" w:ascii="Arial" w:hAnsi="Arial" w:eastAsia="Arial" w:cs="Arial"/>
        <w:spacing w:val="-60"/>
        <w:w w:val="99"/>
        <w:sz w:val="24"/>
        <w:szCs w:val="24"/>
        <w:lang w:val="zh-cn" w:eastAsia="zh-cn" w:bidi="zh-cn"/>
      </w:rPr>
    </w:lvl>
    <w:lvl w:ilvl="5">
      <w:start w:val="0"/>
      <w:numFmt w:val="bullet"/>
      <w:lvlText w:val="•"/>
      <w:lvlJc w:val="left"/>
      <w:pPr>
        <w:ind w:left="3633" w:hanging="336"/>
      </w:pPr>
      <w:rPr>
        <w:rFonts w:hint="default"/>
        <w:lang w:val="zh-cn" w:eastAsia="zh-cn" w:bidi="zh-cn"/>
      </w:rPr>
    </w:lvl>
    <w:lvl w:ilvl="6">
      <w:start w:val="0"/>
      <w:numFmt w:val="bullet"/>
      <w:lvlText w:val="•"/>
      <w:lvlJc w:val="left"/>
      <w:pPr>
        <w:ind w:left="4799" w:hanging="336"/>
      </w:pPr>
      <w:rPr>
        <w:rFonts w:hint="default"/>
        <w:lang w:val="zh-cn" w:eastAsia="zh-cn" w:bidi="zh-cn"/>
      </w:rPr>
    </w:lvl>
    <w:lvl w:ilvl="7">
      <w:start w:val="0"/>
      <w:numFmt w:val="bullet"/>
      <w:lvlText w:val="•"/>
      <w:lvlJc w:val="left"/>
      <w:pPr>
        <w:ind w:left="5966" w:hanging="336"/>
      </w:pPr>
      <w:rPr>
        <w:rFonts w:hint="default"/>
        <w:lang w:val="zh-cn" w:eastAsia="zh-cn" w:bidi="zh-cn"/>
      </w:rPr>
    </w:lvl>
    <w:lvl w:ilvl="8">
      <w:start w:val="0"/>
      <w:numFmt w:val="bullet"/>
      <w:lvlText w:val="•"/>
      <w:lvlJc w:val="left"/>
      <w:pPr>
        <w:ind w:left="7133" w:hanging="336"/>
      </w:pPr>
      <w:rPr>
        <w:rFonts w:hint="default"/>
        <w:lang w:val="zh-cn" w:eastAsia="zh-cn" w:bidi="zh-cn"/>
      </w:rPr>
    </w:lvl>
  </w:abstractNum>
  <w:abstractNum w:abstractNumId="2">
    <w:multiLevelType w:val="hybridMultilevel"/>
    <w:lvl w:ilvl="0">
      <w:start w:val="1"/>
      <w:numFmt w:val="decimal"/>
      <w:lvlText w:val="%1）"/>
      <w:lvlJc w:val="left"/>
      <w:pPr>
        <w:ind w:left="485" w:hanging="376"/>
        <w:jc w:val="left"/>
      </w:pPr>
      <w:rPr>
        <w:rFonts w:hint="default"/>
        <w:spacing w:val="-15"/>
        <w:w w:val="99"/>
        <w:lang w:val="zh-cn" w:eastAsia="zh-cn" w:bidi="zh-cn"/>
      </w:rPr>
    </w:lvl>
    <w:lvl w:ilvl="1">
      <w:start w:val="0"/>
      <w:numFmt w:val="bullet"/>
      <w:lvlText w:val="•"/>
      <w:lvlJc w:val="left"/>
      <w:pPr>
        <w:ind w:left="1052" w:hanging="376"/>
      </w:pPr>
      <w:rPr>
        <w:rFonts w:hint="default"/>
        <w:lang w:val="zh-cn" w:eastAsia="zh-cn" w:bidi="zh-cn"/>
      </w:rPr>
    </w:lvl>
    <w:lvl w:ilvl="2">
      <w:start w:val="0"/>
      <w:numFmt w:val="bullet"/>
      <w:lvlText w:val="•"/>
      <w:lvlJc w:val="left"/>
      <w:pPr>
        <w:ind w:left="1625" w:hanging="376"/>
      </w:pPr>
      <w:rPr>
        <w:rFonts w:hint="default"/>
        <w:lang w:val="zh-cn" w:eastAsia="zh-cn" w:bidi="zh-cn"/>
      </w:rPr>
    </w:lvl>
    <w:lvl w:ilvl="3">
      <w:start w:val="0"/>
      <w:numFmt w:val="bullet"/>
      <w:lvlText w:val="•"/>
      <w:lvlJc w:val="left"/>
      <w:pPr>
        <w:ind w:left="2197" w:hanging="376"/>
      </w:pPr>
      <w:rPr>
        <w:rFonts w:hint="default"/>
        <w:lang w:val="zh-cn" w:eastAsia="zh-cn" w:bidi="zh-cn"/>
      </w:rPr>
    </w:lvl>
    <w:lvl w:ilvl="4">
      <w:start w:val="0"/>
      <w:numFmt w:val="bullet"/>
      <w:lvlText w:val="•"/>
      <w:lvlJc w:val="left"/>
      <w:pPr>
        <w:ind w:left="2770" w:hanging="376"/>
      </w:pPr>
      <w:rPr>
        <w:rFonts w:hint="default"/>
        <w:lang w:val="zh-cn" w:eastAsia="zh-cn" w:bidi="zh-cn"/>
      </w:rPr>
    </w:lvl>
    <w:lvl w:ilvl="5">
      <w:start w:val="0"/>
      <w:numFmt w:val="bullet"/>
      <w:lvlText w:val="•"/>
      <w:lvlJc w:val="left"/>
      <w:pPr>
        <w:ind w:left="3343" w:hanging="376"/>
      </w:pPr>
      <w:rPr>
        <w:rFonts w:hint="default"/>
        <w:lang w:val="zh-cn" w:eastAsia="zh-cn" w:bidi="zh-cn"/>
      </w:rPr>
    </w:lvl>
    <w:lvl w:ilvl="6">
      <w:start w:val="0"/>
      <w:numFmt w:val="bullet"/>
      <w:lvlText w:val="•"/>
      <w:lvlJc w:val="left"/>
      <w:pPr>
        <w:ind w:left="3915" w:hanging="376"/>
      </w:pPr>
      <w:rPr>
        <w:rFonts w:hint="default"/>
        <w:lang w:val="zh-cn" w:eastAsia="zh-cn" w:bidi="zh-cn"/>
      </w:rPr>
    </w:lvl>
    <w:lvl w:ilvl="7">
      <w:start w:val="0"/>
      <w:numFmt w:val="bullet"/>
      <w:lvlText w:val="•"/>
      <w:lvlJc w:val="left"/>
      <w:pPr>
        <w:ind w:left="4488" w:hanging="376"/>
      </w:pPr>
      <w:rPr>
        <w:rFonts w:hint="default"/>
        <w:lang w:val="zh-cn" w:eastAsia="zh-cn" w:bidi="zh-cn"/>
      </w:rPr>
    </w:lvl>
    <w:lvl w:ilvl="8">
      <w:start w:val="0"/>
      <w:numFmt w:val="bullet"/>
      <w:lvlText w:val="•"/>
      <w:lvlJc w:val="left"/>
      <w:pPr>
        <w:ind w:left="5060" w:hanging="376"/>
      </w:pPr>
      <w:rPr>
        <w:rFonts w:hint="default"/>
        <w:lang w:val="zh-cn" w:eastAsia="zh-cn" w:bidi="zh-cn"/>
      </w:rPr>
    </w:lvl>
  </w:abstractNum>
  <w:abstractNum w:abstractNumId="1">
    <w:multiLevelType w:val="hybridMultilevel"/>
    <w:lvl w:ilvl="0">
      <w:start w:val="1"/>
      <w:numFmt w:val="decimal"/>
      <w:lvlText w:val="%1"/>
      <w:lvlJc w:val="left"/>
      <w:pPr>
        <w:ind w:left="768" w:hanging="468"/>
        <w:jc w:val="left"/>
      </w:pPr>
      <w:rPr>
        <w:rFonts w:hint="default" w:ascii="Arial" w:hAnsi="Arial" w:eastAsia="Arial" w:cs="Arial"/>
        <w:b/>
        <w:bCs/>
        <w:w w:val="99"/>
        <w:sz w:val="30"/>
        <w:szCs w:val="30"/>
        <w:lang w:val="zh-cn" w:eastAsia="zh-cn" w:bidi="zh-cn"/>
      </w:rPr>
    </w:lvl>
    <w:lvl w:ilvl="1">
      <w:start w:val="1"/>
      <w:numFmt w:val="decimal"/>
      <w:lvlText w:val="%1.%2"/>
      <w:lvlJc w:val="left"/>
      <w:pPr>
        <w:ind w:left="300" w:hanging="456"/>
        <w:jc w:val="left"/>
      </w:pPr>
      <w:rPr>
        <w:rFonts w:hint="default" w:ascii="Arial" w:hAnsi="Arial" w:eastAsia="Arial" w:cs="Arial"/>
        <w:spacing w:val="-16"/>
        <w:w w:val="99"/>
        <w:sz w:val="24"/>
        <w:szCs w:val="24"/>
        <w:lang w:val="zh-cn" w:eastAsia="zh-cn" w:bidi="zh-cn"/>
      </w:rPr>
    </w:lvl>
    <w:lvl w:ilvl="2">
      <w:start w:val="0"/>
      <w:numFmt w:val="bullet"/>
      <w:lvlText w:val="•"/>
      <w:lvlJc w:val="left"/>
      <w:pPr>
        <w:ind w:left="1020" w:hanging="456"/>
      </w:pPr>
      <w:rPr>
        <w:rFonts w:hint="default"/>
        <w:lang w:val="zh-cn" w:eastAsia="zh-cn" w:bidi="zh-cn"/>
      </w:rPr>
    </w:lvl>
    <w:lvl w:ilvl="3">
      <w:start w:val="0"/>
      <w:numFmt w:val="bullet"/>
      <w:lvlText w:val="•"/>
      <w:lvlJc w:val="left"/>
      <w:pPr>
        <w:ind w:left="2075" w:hanging="456"/>
      </w:pPr>
      <w:rPr>
        <w:rFonts w:hint="default"/>
        <w:lang w:val="zh-cn" w:eastAsia="zh-cn" w:bidi="zh-cn"/>
      </w:rPr>
    </w:lvl>
    <w:lvl w:ilvl="4">
      <w:start w:val="0"/>
      <w:numFmt w:val="bullet"/>
      <w:lvlText w:val="•"/>
      <w:lvlJc w:val="left"/>
      <w:pPr>
        <w:ind w:left="3131" w:hanging="456"/>
      </w:pPr>
      <w:rPr>
        <w:rFonts w:hint="default"/>
        <w:lang w:val="zh-cn" w:eastAsia="zh-cn" w:bidi="zh-cn"/>
      </w:rPr>
    </w:lvl>
    <w:lvl w:ilvl="5">
      <w:start w:val="0"/>
      <w:numFmt w:val="bullet"/>
      <w:lvlText w:val="•"/>
      <w:lvlJc w:val="left"/>
      <w:pPr>
        <w:ind w:left="4187" w:hanging="456"/>
      </w:pPr>
      <w:rPr>
        <w:rFonts w:hint="default"/>
        <w:lang w:val="zh-cn" w:eastAsia="zh-cn" w:bidi="zh-cn"/>
      </w:rPr>
    </w:lvl>
    <w:lvl w:ilvl="6">
      <w:start w:val="0"/>
      <w:numFmt w:val="bullet"/>
      <w:lvlText w:val="•"/>
      <w:lvlJc w:val="left"/>
      <w:pPr>
        <w:ind w:left="5243" w:hanging="456"/>
      </w:pPr>
      <w:rPr>
        <w:rFonts w:hint="default"/>
        <w:lang w:val="zh-cn" w:eastAsia="zh-cn" w:bidi="zh-cn"/>
      </w:rPr>
    </w:lvl>
    <w:lvl w:ilvl="7">
      <w:start w:val="0"/>
      <w:numFmt w:val="bullet"/>
      <w:lvlText w:val="•"/>
      <w:lvlJc w:val="left"/>
      <w:pPr>
        <w:ind w:left="6299" w:hanging="456"/>
      </w:pPr>
      <w:rPr>
        <w:rFonts w:hint="default"/>
        <w:lang w:val="zh-cn" w:eastAsia="zh-cn" w:bidi="zh-cn"/>
      </w:rPr>
    </w:lvl>
    <w:lvl w:ilvl="8">
      <w:start w:val="0"/>
      <w:numFmt w:val="bullet"/>
      <w:lvlText w:val="•"/>
      <w:lvlJc w:val="left"/>
      <w:pPr>
        <w:ind w:left="7354" w:hanging="456"/>
      </w:pPr>
      <w:rPr>
        <w:rFonts w:hint="default"/>
        <w:lang w:val="zh-cn" w:eastAsia="zh-cn" w:bidi="zh-cn"/>
      </w:rPr>
    </w:lvl>
  </w:abstractNum>
  <w:abstractNum w:abstractNumId="0">
    <w:multiLevelType w:val="hybridMultilevel"/>
    <w:lvl w:ilvl="0">
      <w:start w:val="1"/>
      <w:numFmt w:val="decimal"/>
      <w:lvlText w:val="%1"/>
      <w:lvlJc w:val="left"/>
      <w:pPr>
        <w:ind w:left="674" w:hanging="375"/>
        <w:jc w:val="left"/>
      </w:pPr>
      <w:rPr>
        <w:rFonts w:hint="default" w:ascii="Arial" w:hAnsi="Arial" w:eastAsia="Arial" w:cs="Arial"/>
        <w:w w:val="99"/>
        <w:sz w:val="24"/>
        <w:szCs w:val="24"/>
        <w:lang w:val="zh-cn" w:eastAsia="zh-cn" w:bidi="zh-cn"/>
      </w:rPr>
    </w:lvl>
    <w:lvl w:ilvl="1">
      <w:start w:val="0"/>
      <w:numFmt w:val="bullet"/>
      <w:lvlText w:val="•"/>
      <w:lvlJc w:val="left"/>
      <w:pPr>
        <w:ind w:left="1558" w:hanging="375"/>
      </w:pPr>
      <w:rPr>
        <w:rFonts w:hint="default"/>
        <w:lang w:val="zh-cn" w:eastAsia="zh-cn" w:bidi="zh-cn"/>
      </w:rPr>
    </w:lvl>
    <w:lvl w:ilvl="2">
      <w:start w:val="0"/>
      <w:numFmt w:val="bullet"/>
      <w:lvlText w:val="•"/>
      <w:lvlJc w:val="left"/>
      <w:pPr>
        <w:ind w:left="2437" w:hanging="375"/>
      </w:pPr>
      <w:rPr>
        <w:rFonts w:hint="default"/>
        <w:lang w:val="zh-cn" w:eastAsia="zh-cn" w:bidi="zh-cn"/>
      </w:rPr>
    </w:lvl>
    <w:lvl w:ilvl="3">
      <w:start w:val="0"/>
      <w:numFmt w:val="bullet"/>
      <w:lvlText w:val="•"/>
      <w:lvlJc w:val="left"/>
      <w:pPr>
        <w:ind w:left="3315" w:hanging="375"/>
      </w:pPr>
      <w:rPr>
        <w:rFonts w:hint="default"/>
        <w:lang w:val="zh-cn" w:eastAsia="zh-cn" w:bidi="zh-cn"/>
      </w:rPr>
    </w:lvl>
    <w:lvl w:ilvl="4">
      <w:start w:val="0"/>
      <w:numFmt w:val="bullet"/>
      <w:lvlText w:val="•"/>
      <w:lvlJc w:val="left"/>
      <w:pPr>
        <w:ind w:left="4194" w:hanging="375"/>
      </w:pPr>
      <w:rPr>
        <w:rFonts w:hint="default"/>
        <w:lang w:val="zh-cn" w:eastAsia="zh-cn" w:bidi="zh-cn"/>
      </w:rPr>
    </w:lvl>
    <w:lvl w:ilvl="5">
      <w:start w:val="0"/>
      <w:numFmt w:val="bullet"/>
      <w:lvlText w:val="•"/>
      <w:lvlJc w:val="left"/>
      <w:pPr>
        <w:ind w:left="5073" w:hanging="375"/>
      </w:pPr>
      <w:rPr>
        <w:rFonts w:hint="default"/>
        <w:lang w:val="zh-cn" w:eastAsia="zh-cn" w:bidi="zh-cn"/>
      </w:rPr>
    </w:lvl>
    <w:lvl w:ilvl="6">
      <w:start w:val="0"/>
      <w:numFmt w:val="bullet"/>
      <w:lvlText w:val="•"/>
      <w:lvlJc w:val="left"/>
      <w:pPr>
        <w:ind w:left="5951" w:hanging="375"/>
      </w:pPr>
      <w:rPr>
        <w:rFonts w:hint="default"/>
        <w:lang w:val="zh-cn" w:eastAsia="zh-cn" w:bidi="zh-cn"/>
      </w:rPr>
    </w:lvl>
    <w:lvl w:ilvl="7">
      <w:start w:val="0"/>
      <w:numFmt w:val="bullet"/>
      <w:lvlText w:val="•"/>
      <w:lvlJc w:val="left"/>
      <w:pPr>
        <w:ind w:left="6830" w:hanging="375"/>
      </w:pPr>
      <w:rPr>
        <w:rFonts w:hint="default"/>
        <w:lang w:val="zh-cn" w:eastAsia="zh-cn" w:bidi="zh-cn"/>
      </w:rPr>
    </w:lvl>
    <w:lvl w:ilvl="8">
      <w:start w:val="0"/>
      <w:numFmt w:val="bullet"/>
      <w:lvlText w:val="•"/>
      <w:lvlJc w:val="left"/>
      <w:pPr>
        <w:ind w:left="7709" w:hanging="375"/>
      </w:pPr>
      <w:rPr>
        <w:rFonts w:hint="default"/>
        <w:lang w:val="zh-cn" w:eastAsia="zh-cn" w:bidi="zh-cn"/>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82"/>
      <w:ind w:left="300"/>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1"/>
      <w:ind w:left="220"/>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768" w:hanging="468"/>
      <w:outlineLvl w:val="2"/>
    </w:pPr>
    <w:rPr>
      <w:rFonts w:ascii="黑体" w:hAnsi="黑体" w:eastAsia="黑体" w:cs="黑体"/>
      <w:b/>
      <w:bCs/>
      <w:sz w:val="30"/>
      <w:szCs w:val="30"/>
      <w:lang w:val="zh-cn" w:eastAsia="zh-cn" w:bidi="zh-cn"/>
    </w:rPr>
  </w:style>
  <w:style w:styleId="Heading3" w:type="paragraph">
    <w:name w:val="Heading 3"/>
    <w:basedOn w:val="Normal"/>
    <w:uiPriority w:val="1"/>
    <w:qFormat/>
    <w:pPr>
      <w:spacing w:before="80"/>
      <w:ind w:left="758" w:hanging="458"/>
      <w:outlineLvl w:val="3"/>
    </w:pPr>
    <w:rPr>
      <w:rFonts w:ascii="黑体" w:hAnsi="黑体" w:eastAsia="黑体" w:cs="黑体"/>
      <w:b/>
      <w:bCs/>
      <w:sz w:val="28"/>
      <w:szCs w:val="28"/>
      <w:lang w:val="zh-cn" w:eastAsia="zh-cn" w:bidi="zh-cn"/>
    </w:rPr>
  </w:style>
  <w:style w:styleId="Heading4" w:type="paragraph">
    <w:name w:val="Heading 4"/>
    <w:basedOn w:val="Normal"/>
    <w:uiPriority w:val="1"/>
    <w:qFormat/>
    <w:pPr>
      <w:spacing w:before="1"/>
      <w:ind w:left="1296" w:hanging="996"/>
      <w:outlineLvl w:val="4"/>
    </w:pPr>
    <w:rPr>
      <w:rFonts w:ascii="黑体" w:hAnsi="黑体" w:eastAsia="黑体" w:cs="黑体"/>
      <w:sz w:val="28"/>
      <w:szCs w:val="28"/>
      <w:lang w:val="zh-cn" w:eastAsia="zh-cn" w:bidi="zh-cn"/>
    </w:rPr>
  </w:style>
  <w:style w:styleId="ListParagraph" w:type="paragraph">
    <w:name w:val="List Paragraph"/>
    <w:basedOn w:val="Normal"/>
    <w:uiPriority w:val="1"/>
    <w:qFormat/>
    <w:pPr>
      <w:ind w:left="300" w:hanging="468"/>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生飞</dc:creator>
  <dc:title>CNACR/AR05：1995</dc:title>
  <dcterms:created xsi:type="dcterms:W3CDTF">2020-09-17T15:43:48Z</dcterms:created>
  <dcterms:modified xsi:type="dcterms:W3CDTF">2020-09-17T15:43:48Z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2010</vt:lpwstr>
  </property>
  <property fmtid="{D5CDD505-2E9C-101B-9397-08002B2CF9AE}" pid="4" name="LastSaved">
    <vt:filetime>2020-09-17T00:00:00Z</vt:filetime>
  </property>
</Properties>
</file>